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b/>
          <w:sz w:val="32"/>
          <w:szCs w:val="32"/>
        </w:rPr>
      </w:pPr>
      <w:bookmarkStart w:id="0" w:name="_GoBack"/>
      <w:r>
        <w:rPr>
          <w:rFonts w:cs="Times New Roman" w:ascii="Times New Roman" w:hAnsi="Times New Roman"/>
          <w:b/>
          <w:sz w:val="32"/>
          <w:szCs w:val="32"/>
        </w:rPr>
        <w:t>«Что необходимо знать, если на производстве произошел</w:t>
      </w:r>
    </w:p>
    <w:p>
      <w:pPr>
        <w:pStyle w:val="Normal"/>
        <w:spacing w:lineRule="auto" w:line="240" w:before="0" w:after="0"/>
        <w:jc w:val="center"/>
        <w:rPr>
          <w:rFonts w:ascii="Times New Roman" w:hAnsi="Times New Roman" w:cs="Times New Roman"/>
          <w:b/>
          <w:sz w:val="32"/>
          <w:szCs w:val="32"/>
        </w:rPr>
      </w:pPr>
      <w:bookmarkStart w:id="1" w:name="_GoBack"/>
      <w:r>
        <w:rPr>
          <w:rFonts w:cs="Times New Roman" w:ascii="Times New Roman" w:hAnsi="Times New Roman"/>
          <w:b/>
          <w:sz w:val="32"/>
          <w:szCs w:val="32"/>
        </w:rPr>
        <w:t>несчастный случай с работающим»</w:t>
      </w:r>
      <w:bookmarkEnd w:id="1"/>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Сообщения о несчастных случаях на производстве регулярно пополняют общую статистику травмированных на производстве в республике. Вместе с тем не все страхователи знают, когда необходимо информировать соответствующие органы и организации о несчастном случае на производстве, как правильно провести расследование несчастного случая на производстве. Все эти требования регламентированы Правилами</w:t>
      </w:r>
      <w:r>
        <w:rPr>
          <w:sz w:val="24"/>
          <w:szCs w:val="24"/>
        </w:rPr>
        <w:t xml:space="preserve"> </w:t>
      </w:r>
      <w:r>
        <w:rPr>
          <w:rFonts w:cs="Times New Roman" w:ascii="Times New Roman" w:hAnsi="Times New Roman"/>
          <w:sz w:val="24"/>
          <w:szCs w:val="24"/>
        </w:rPr>
        <w:t>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 30 (далее - Правила).</w:t>
      </w:r>
    </w:p>
    <w:p>
      <w:pPr>
        <w:pStyle w:val="Point"/>
        <w:spacing w:before="0" w:after="0"/>
        <w:rPr/>
      </w:pPr>
      <w:r>
        <w:rPr/>
        <w:t>Действие настоящих Правил распространяется на:</w:t>
      </w:r>
    </w:p>
    <w:p>
      <w:pPr>
        <w:pStyle w:val="Underpoint"/>
        <w:spacing w:before="0" w:after="0"/>
        <w:rPr/>
      </w:pPr>
      <w:r>
        <w:rPr/>
        <w:t>- страхователей по обязательному страхованию от несчастных случаев на производстве и профессиональных заболеваний (далее – страхователей);</w:t>
      </w:r>
    </w:p>
    <w:p>
      <w:pPr>
        <w:pStyle w:val="Underpoint"/>
        <w:spacing w:before="0" w:after="0"/>
        <w:rPr/>
      </w:pPr>
      <w:r>
        <w:rPr/>
        <w:t>-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страховщиков);</w:t>
      </w:r>
    </w:p>
    <w:p>
      <w:pPr>
        <w:pStyle w:val="Underpoint"/>
        <w:spacing w:before="0" w:after="0"/>
        <w:rPr/>
      </w:pPr>
      <w:r>
        <w:rPr/>
        <w:t>- граждан Республики Беларусь, иностранных граждан и лиц без гражданства (далее – работающих):</w:t>
      </w:r>
    </w:p>
    <w:p>
      <w:pPr>
        <w:pStyle w:val="Underpoint"/>
        <w:spacing w:before="0" w:after="0"/>
        <w:rPr/>
      </w:pPr>
      <w:r>
        <w:rPr/>
        <w:t xml:space="preserve">- выполняющих (выполнявших) работу на основании трудового </w:t>
      </w:r>
      <w:hyperlink r:id="rId2" w:anchor="a46" w:tgtFrame="+">
        <w:r>
          <w:rPr>
            <w:rStyle w:val="Hyperlink"/>
            <w:color w:val="auto"/>
            <w:u w:val="none"/>
          </w:rPr>
          <w:t>договора</w:t>
        </w:r>
      </w:hyperlink>
      <w:r>
        <w:rPr/>
        <w:t xml:space="preserve"> (контракта) (далее – работников);</w:t>
      </w:r>
    </w:p>
    <w:p>
      <w:pPr>
        <w:pStyle w:val="Underpoint"/>
        <w:spacing w:before="0" w:after="0"/>
        <w:rPr/>
      </w:pPr>
      <w:r>
        <w:rPr/>
        <w:t>- являющихся (являвшихся)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(осуществлявшими) свои полномочия на профессиональной основе, председателями местных Советов депутатов, а также судьями;</w:t>
      </w:r>
    </w:p>
    <w:p>
      <w:pPr>
        <w:pStyle w:val="Underpoint"/>
        <w:spacing w:before="0" w:after="0"/>
        <w:rPr/>
      </w:pPr>
      <w:r>
        <w:rPr/>
        <w:t>- выполняющих (выполнявших) оплачиваемую работу на основе членства (участия) в производственных кооперативах, глав крестьянских (фермерских) хозяйств, а также руководителей организаций – единственных собственников их имущества, получающих (получавших) вознаграждение за труд от такой работы;</w:t>
      </w:r>
    </w:p>
    <w:p>
      <w:pPr>
        <w:pStyle w:val="Underpoint"/>
        <w:spacing w:before="0" w:after="0"/>
        <w:rPr/>
      </w:pPr>
      <w:r>
        <w:rPr/>
        <w:t>- военнослужащих Вооруженных Сил, других воинских формирований, лиц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 выполнении в организациях работ, не связанных с несением военной службы, исполнением служебных обязанностей;</w:t>
      </w:r>
    </w:p>
    <w:p>
      <w:pPr>
        <w:pStyle w:val="Underpoint"/>
        <w:spacing w:before="0" w:after="0"/>
        <w:rPr/>
      </w:pPr>
      <w:r>
        <w:rPr/>
        <w:t>- 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pPr>
        <w:pStyle w:val="Underpoint"/>
        <w:spacing w:before="0" w:after="0"/>
        <w:rPr/>
      </w:pPr>
      <w:r>
        <w:rPr/>
        <w:t>- которые проходят обучение, трудовую реабилитацию и (или) практику на производстве, а также лиц, привлекаемых к труду в процессе лечения (трудотерапии) в организациях здравоохранения;</w:t>
      </w:r>
    </w:p>
    <w:p>
      <w:pPr>
        <w:pStyle w:val="Underpoint"/>
        <w:spacing w:before="0" w:after="0"/>
        <w:rPr/>
      </w:pPr>
      <w:r>
        <w:rPr/>
        <w:t>- привлекаемых в установленном порядке к ликвидации чрезвычайных ситуаций природного и техногенного характера, к оплачиваемым общественным работам;</w:t>
      </w:r>
    </w:p>
    <w:p>
      <w:pPr>
        <w:pStyle w:val="Underpoint"/>
        <w:spacing w:before="0" w:after="0"/>
        <w:rPr/>
      </w:pPr>
      <w:r>
        <w:rPr/>
        <w:t>- работающих (работавших) на основании гражданско-правовых договоров, предметом которых являются (являлись) выполнение работ, оказание услуг или создание объектов интеллектуальной собственности, в местах, предоставленных страхователем;</w:t>
      </w:r>
    </w:p>
    <w:p>
      <w:pPr>
        <w:pStyle w:val="Underpoint"/>
        <w:spacing w:before="0" w:after="0"/>
        <w:rPr/>
      </w:pPr>
      <w:r>
        <w:rPr/>
        <w:t>- являющихся (являвшихся) в соответствии со </w:t>
      </w:r>
      <w:hyperlink r:id="rId3" w:anchor="a42" w:tgtFrame="+">
        <w:r>
          <w:rPr>
            <w:rStyle w:val="Hyperlink"/>
            <w:color w:val="auto"/>
          </w:rPr>
          <w:t>статьей 30</w:t>
        </w:r>
      </w:hyperlink>
      <w:r>
        <w:rPr/>
        <w:t xml:space="preserve"> Кодекса Республики Беларусь об образовании обучающимися (за исключением курсантов и слушателей) и привлекаемых (привлеченных) к оплачиваемым работам в организациях в период прохождения практики, производственного обучения, стажировки, а также являющихся (являвшихся) врачами-специалистами, лицами, получившими высшее медицинское образование за пределами Республики Беларусь, и привлекаемых (привлеченных) к оплачиваемым работам в период подготовки в клинической ординатуре (далее – обучающиеся).</w:t>
      </w:r>
    </w:p>
    <w:p>
      <w:pPr>
        <w:pStyle w:val="Point"/>
        <w:spacing w:before="0" w:after="0"/>
        <w:rPr/>
      </w:pPr>
      <w:r>
        <w:rPr/>
        <w:t>В соответствии с настоящими Правилами расследуются несчастные случаи, происшедшие с работающими в организации, у страхователя в течение рабочего времени, в периоды времени до начала и после окончания работы:</w:t>
      </w:r>
    </w:p>
    <w:p>
      <w:pPr>
        <w:pStyle w:val="Underpoint"/>
        <w:spacing w:before="0" w:after="0"/>
        <w:rPr/>
      </w:pPr>
      <w:r>
        <w:rPr/>
        <w:t>- на территории организации, страхователя или в ином месте работы, в том числе в служебной командировке, а также в любом другом месте, где потерпевший находился в связи с работой;</w:t>
      </w:r>
    </w:p>
    <w:p>
      <w:pPr>
        <w:pStyle w:val="Underpoint"/>
        <w:spacing w:before="0" w:after="0"/>
        <w:rPr/>
      </w:pPr>
      <w:r>
        <w:rPr/>
        <w:t>- при следовании к месту работы или с места работы на транспорте, предоставленном организацией, страхователем;</w:t>
      </w:r>
    </w:p>
    <w:p>
      <w:pPr>
        <w:pStyle w:val="Underpoint"/>
        <w:spacing w:before="0" w:after="0"/>
        <w:rPr/>
      </w:pPr>
      <w:r>
        <w:rPr/>
        <w:t xml:space="preserve">- при передвижении 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w:t>
      </w:r>
      <w:hyperlink r:id="rId4" w:anchor="a46" w:tgtFrame="+">
        <w:r>
          <w:rPr>
            <w:rStyle w:val="Hyperlink"/>
            <w:color w:val="auto"/>
          </w:rPr>
          <w:t>договора</w:t>
        </w:r>
      </w:hyperlink>
      <w:r>
        <w:rPr/>
        <w:t xml:space="preserve"> (контракта);</w:t>
      </w:r>
    </w:p>
    <w:p>
      <w:pPr>
        <w:pStyle w:val="Underpoint"/>
        <w:spacing w:before="0" w:after="0"/>
        <w:rPr/>
      </w:pPr>
      <w:r>
        <w:rPr/>
        <w:t>-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задания организации, страхователя (ее (его) уполномоченного должностного лица);</w:t>
      </w:r>
    </w:p>
    <w:p>
      <w:pPr>
        <w:pStyle w:val="Underpoint"/>
        <w:spacing w:before="0" w:after="0"/>
        <w:rPr/>
      </w:pPr>
      <w:r>
        <w:rPr/>
        <w:t>- при следовании на транспортном средстве в качестве сменщика во время междусменного отдыха (водитель, проводник, другой работник);</w:t>
      </w:r>
    </w:p>
    <w:p>
      <w:pPr>
        <w:pStyle w:val="Underpoint"/>
        <w:spacing w:before="0" w:after="0"/>
        <w:rPr/>
      </w:pPr>
      <w:r>
        <w:rPr/>
        <w:t>- 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pPr>
        <w:pStyle w:val="Underpoint"/>
        <w:spacing w:before="0" w:after="0"/>
        <w:rPr/>
      </w:pPr>
      <w:r>
        <w:rPr/>
        <w:t>- при выполнении работ по ликвидации чрезвычайных ситуаций природного и техногенного характера и их последствий;</w:t>
      </w:r>
    </w:p>
    <w:p>
      <w:pPr>
        <w:pStyle w:val="Underpoint"/>
        <w:spacing w:before="0" w:after="0"/>
        <w:rPr/>
      </w:pPr>
      <w:r>
        <w:rPr/>
        <w:t>- при участии в оплачиваемых общественных работах безработных граждан, зарегистрированных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w:t>
      </w:r>
    </w:p>
    <w:p>
      <w:pPr>
        <w:pStyle w:val="Underpoint"/>
        <w:spacing w:before="0" w:after="0"/>
        <w:rPr/>
      </w:pPr>
      <w:r>
        <w:rPr/>
        <w:t>- при следовании к месту служебной командировки и обратно:</w:t>
      </w:r>
    </w:p>
    <w:p>
      <w:pPr>
        <w:pStyle w:val="Newncpi"/>
        <w:numPr>
          <w:ilvl w:val="0"/>
          <w:numId w:val="1"/>
        </w:numPr>
        <w:tabs>
          <w:tab w:val="clear" w:pos="708"/>
          <w:tab w:val="left" w:pos="1134" w:leader="none"/>
        </w:tabs>
        <w:spacing w:before="0" w:after="0"/>
        <w:ind w:firstLine="851" w:left="0"/>
        <w:rPr/>
      </w:pPr>
      <w:r>
        <w:rPr/>
        <w:t>на транспорте общего пользования (кроме транспорта общего пользования, осуществляющего городские перевозки);</w:t>
      </w:r>
    </w:p>
    <w:p>
      <w:pPr>
        <w:pStyle w:val="Newncpi"/>
        <w:numPr>
          <w:ilvl w:val="0"/>
          <w:numId w:val="1"/>
        </w:numPr>
        <w:tabs>
          <w:tab w:val="clear" w:pos="708"/>
          <w:tab w:val="left" w:pos="1134" w:leader="none"/>
        </w:tabs>
        <w:spacing w:before="0" w:after="0"/>
        <w:ind w:firstLine="851" w:left="0"/>
        <w:rPr/>
      </w:pPr>
      <w:r>
        <w:rPr/>
        <w:t>на транспорте, предоставленном организацией, страхователем;</w:t>
      </w:r>
    </w:p>
    <w:p>
      <w:pPr>
        <w:pStyle w:val="Newncpi"/>
        <w:numPr>
          <w:ilvl w:val="0"/>
          <w:numId w:val="1"/>
        </w:numPr>
        <w:tabs>
          <w:tab w:val="clear" w:pos="708"/>
          <w:tab w:val="left" w:pos="1134" w:leader="none"/>
        </w:tabs>
        <w:spacing w:before="0" w:after="0"/>
        <w:ind w:firstLine="851" w:left="0"/>
        <w:rPr/>
      </w:pPr>
      <w:r>
        <w:rPr/>
        <w:t xml:space="preserve">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w:t>
      </w:r>
      <w:hyperlink r:id="rId5" w:anchor="a46" w:tgtFrame="+">
        <w:r>
          <w:rPr>
            <w:rStyle w:val="Hyperlink"/>
            <w:color w:val="auto"/>
          </w:rPr>
          <w:t>договора</w:t>
        </w:r>
      </w:hyperlink>
      <w:r>
        <w:rPr/>
        <w:t xml:space="preserve"> (контракта);</w:t>
      </w:r>
    </w:p>
    <w:p>
      <w:pPr>
        <w:pStyle w:val="Newncpi"/>
        <w:numPr>
          <w:ilvl w:val="0"/>
          <w:numId w:val="1"/>
        </w:numPr>
        <w:tabs>
          <w:tab w:val="clear" w:pos="708"/>
          <w:tab w:val="left" w:pos="1134" w:leader="none"/>
        </w:tabs>
        <w:spacing w:before="0" w:after="0"/>
        <w:ind w:firstLine="851" w:left="0"/>
        <w:rPr/>
      </w:pPr>
      <w:r>
        <w:rPr/>
        <w:t>на ином транспорте (при следовании от населенного пункта – местонахождения постоянного места работы к населенному пункту – месту служебной командировки и обратно);</w:t>
      </w:r>
    </w:p>
    <w:p>
      <w:pPr>
        <w:pStyle w:val="Newncpi"/>
        <w:numPr>
          <w:ilvl w:val="0"/>
          <w:numId w:val="1"/>
        </w:numPr>
        <w:tabs>
          <w:tab w:val="clear" w:pos="708"/>
          <w:tab w:val="left" w:pos="1134" w:leader="none"/>
        </w:tabs>
        <w:spacing w:before="0" w:after="0"/>
        <w:ind w:firstLine="851" w:left="0"/>
        <w:rPr/>
      </w:pPr>
      <w:r>
        <w:rPr/>
        <w:t xml:space="preserve">при следовании на транспорте общего пользования, осуществляющем городские перевозки, ином транспорте и (или) пешком при перемещении в пределах населенного пункта от места высадки из транспортных средств, перечисленных в абзацах </w:t>
      </w:r>
      <w:hyperlink w:anchor="a137" w:tgtFrame="+">
        <w:r>
          <w:rPr>
            <w:rStyle w:val="Hyperlink"/>
            <w:color w:val="auto"/>
          </w:rPr>
          <w:t>втором–пятом</w:t>
        </w:r>
      </w:hyperlink>
      <w:r>
        <w:rPr/>
        <w:t xml:space="preserve"> настоящего подпункта, до места служебной командировки и от места служебной командировки до места посадки в транспортные средства, перечисленные в абзацах </w:t>
      </w:r>
      <w:hyperlink w:anchor="a137" w:tgtFrame="+">
        <w:r>
          <w:rPr>
            <w:rStyle w:val="Hyperlink"/>
            <w:color w:val="auto"/>
          </w:rPr>
          <w:t>втором–пятом</w:t>
        </w:r>
      </w:hyperlink>
      <w:r>
        <w:rPr/>
        <w:t xml:space="preserve"> настоящего подпункта.</w:t>
      </w:r>
    </w:p>
    <w:p>
      <w:pPr>
        <w:pStyle w:val="Point"/>
        <w:spacing w:before="0" w:after="0"/>
        <w:rPr/>
      </w:pPr>
      <w:r>
        <w:rPr/>
        <w:t xml:space="preserve">Согласно Правил организация, страхователь при получении </w:t>
      </w:r>
      <w:hyperlink r:id="rId6" w:anchor="a49" w:tgtFrame="+">
        <w:r>
          <w:rPr>
            <w:rStyle w:val="Hyperlink"/>
            <w:color w:val="auto"/>
            <w:u w:val="none"/>
          </w:rPr>
          <w:t>сообщения</w:t>
        </w:r>
      </w:hyperlink>
      <w:r>
        <w:rPr/>
        <w:t xml:space="preserve"> о несчастном случае, подпадающем под действие Правил:</w:t>
      </w:r>
    </w:p>
    <w:p>
      <w:pPr>
        <w:pStyle w:val="Newncpi"/>
        <w:spacing w:before="0" w:after="0"/>
        <w:rPr/>
      </w:pPr>
      <w:r>
        <w:rPr/>
        <w:t>- принимает меры по устранению причин несчастного случая;</w:t>
      </w:r>
    </w:p>
    <w:p>
      <w:pPr>
        <w:pStyle w:val="Newncpi"/>
        <w:spacing w:before="0" w:after="0"/>
        <w:rPr/>
      </w:pPr>
      <w:bookmarkStart w:id="2" w:name="a325"/>
      <w:bookmarkEnd w:id="2"/>
      <w:r>
        <w:rPr/>
        <w:t>- не позднее рабочего дня, следующего за днем происшествия несчастного случая, сообщает о несчастном случае страхователю потерпевшего (при несчастном случае, произошедшем с работающим у другого страхователя), родственникам потерпевшего, профсоюзу (иному представительному органу работников);</w:t>
      </w:r>
    </w:p>
    <w:p>
      <w:pPr>
        <w:pStyle w:val="Newncpi"/>
        <w:spacing w:before="0" w:after="0"/>
        <w:rPr/>
      </w:pPr>
      <w:bookmarkStart w:id="3" w:name="a308"/>
      <w:bookmarkEnd w:id="3"/>
      <w:r>
        <w:rPr/>
        <w:t>- не позднее рабочего дня, следующего за днем происшествия несчастного случая, направляет в организацию здравоохранения запрос о тяжести производственной травмы потерпевшего;</w:t>
      </w:r>
    </w:p>
    <w:p>
      <w:pPr>
        <w:pStyle w:val="Newncpi"/>
        <w:spacing w:before="0" w:after="0"/>
        <w:rPr/>
      </w:pPr>
      <w:bookmarkStart w:id="4" w:name="a251"/>
      <w:bookmarkEnd w:id="4"/>
      <w:r>
        <w:rPr/>
        <w:t xml:space="preserve">- сообщает о несчастном случае страховщику в течение одного рабочего дня после получения </w:t>
      </w:r>
      <w:hyperlink r:id="rId7" w:anchor="a48" w:tgtFrame="+">
        <w:r>
          <w:rPr>
            <w:rStyle w:val="Hyperlink"/>
            <w:color w:val="auto"/>
            <w:u w:val="none"/>
          </w:rPr>
          <w:t>заключения</w:t>
        </w:r>
      </w:hyperlink>
      <w:r>
        <w:rPr/>
        <w:t xml:space="preserve"> о тяжести производственной травмы потерпевшего с направлением копии заключения о тяжести производственной травмы, а о групповом несчастном случае и несчастном случае со смертельным исходом – в течение одного рабочего дня после получения </w:t>
      </w:r>
      <w:hyperlink r:id="rId8" w:anchor="a49" w:tgtFrame="+">
        <w:r>
          <w:rPr>
            <w:rStyle w:val="Hyperlink"/>
            <w:color w:val="auto"/>
            <w:u w:val="none"/>
          </w:rPr>
          <w:t>сообщения</w:t>
        </w:r>
      </w:hyperlink>
      <w:r>
        <w:rPr/>
        <w:t xml:space="preserve"> о несчастном случае;</w:t>
      </w:r>
    </w:p>
    <w:p>
      <w:pPr>
        <w:pStyle w:val="Newncpi"/>
        <w:spacing w:before="0" w:after="0"/>
        <w:rPr/>
      </w:pPr>
      <w:r>
        <w:rPr/>
        <w:t>- обеспечивает расследование несчастного случая на производстве в соответствии с настоящими Правилами.</w:t>
      </w:r>
    </w:p>
    <w:p>
      <w:pPr>
        <w:pStyle w:val="Point"/>
        <w:spacing w:before="0" w:after="0"/>
        <w:rPr/>
      </w:pPr>
      <w:r>
        <w:rPr/>
        <w:t>Организация, страхователь:</w:t>
      </w:r>
    </w:p>
    <w:p>
      <w:pPr>
        <w:pStyle w:val="Newncpi"/>
        <w:numPr>
          <w:ilvl w:val="0"/>
          <w:numId w:val="1"/>
        </w:numPr>
        <w:tabs>
          <w:tab w:val="clear" w:pos="708"/>
          <w:tab w:val="left" w:pos="851" w:leader="none"/>
        </w:tabs>
        <w:spacing w:before="0" w:after="0"/>
        <w:ind w:firstLine="567" w:left="0"/>
        <w:rPr/>
      </w:pPr>
      <w:r>
        <w:rPr/>
        <w:t>создает лицам, занятым расследованием несчастного случая на производстве, профессионального заболевания, необходимые условия для работы, предоставляет помещение, средства связи, транспорт, средства индивидуальной защиты;</w:t>
      </w:r>
    </w:p>
    <w:p>
      <w:pPr>
        <w:pStyle w:val="Newncpi"/>
        <w:numPr>
          <w:ilvl w:val="0"/>
          <w:numId w:val="1"/>
        </w:numPr>
        <w:tabs>
          <w:tab w:val="clear" w:pos="708"/>
          <w:tab w:val="left" w:pos="851" w:leader="none"/>
        </w:tabs>
        <w:spacing w:before="0" w:after="0"/>
        <w:ind w:firstLine="567" w:left="0"/>
        <w:rPr/>
      </w:pPr>
      <w:bookmarkStart w:id="5" w:name="a245"/>
      <w:bookmarkEnd w:id="5"/>
      <w:r>
        <w:rPr/>
        <w:t>за счет собственных средств обеспечивает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проведение фото-, видеосъемки места происшествия и поврежденных объектов, составление планов, эскизов, схем;</w:t>
      </w:r>
    </w:p>
    <w:p>
      <w:pPr>
        <w:pStyle w:val="Newncpi"/>
        <w:numPr>
          <w:ilvl w:val="0"/>
          <w:numId w:val="1"/>
        </w:numPr>
        <w:tabs>
          <w:tab w:val="clear" w:pos="708"/>
          <w:tab w:val="left" w:pos="851" w:leader="none"/>
        </w:tabs>
        <w:spacing w:before="0" w:after="0"/>
        <w:ind w:firstLine="567" w:left="0"/>
        <w:rPr/>
      </w:pPr>
      <w:r>
        <w:rPr/>
        <w:t>оплачивает иные расходы, связанные с проведением расследования несчастного случая на производстве, профессионального заболевания;</w:t>
      </w:r>
    </w:p>
    <w:p>
      <w:pPr>
        <w:pStyle w:val="Newncpi"/>
        <w:numPr>
          <w:ilvl w:val="0"/>
          <w:numId w:val="1"/>
        </w:numPr>
        <w:tabs>
          <w:tab w:val="clear" w:pos="708"/>
          <w:tab w:val="left" w:pos="851" w:leader="none"/>
        </w:tabs>
        <w:spacing w:before="0" w:after="0"/>
        <w:ind w:firstLine="567" w:left="0"/>
        <w:rPr/>
      </w:pPr>
      <w:r>
        <w:rPr/>
        <w:t>организует в соответствии с настоящими Правилами оформление и учет несчастных случаев на производстве и профессиональных заболеваний, разработку и реализацию мероприятий по их профилактике.</w:t>
      </w:r>
    </w:p>
    <w:p>
      <w:pPr>
        <w:pStyle w:val="Point"/>
        <w:spacing w:before="0" w:after="0"/>
        <w:rPr/>
      </w:pPr>
      <w:r>
        <w:rPr/>
        <w:t>Расследование несчастного случая на производстве (кроме группового, со смертельным исходом или приведшего к тяжелым производственным травмам) проводится уполномоченным должностным лицом организации, страхователя с участием уполномоченного представителя профсоюза (иного представительного органа работников), специалиста по охране труда организации, страхователя или другого специалиста, на которого возложены соответствующие обязанности по охране труда, либо руководителя юридического лица (индивидуального предпринимателя), аккредитованного на оказание услуг в области охраны труда, а также страховщика, потерпевшего и (или) лица, представляющего его интересы на основании доверенности, оформленной в установленном законодательством порядке, либо супруга (супруги) или одного из близких родственников погибшего (далее – лицо, представляющее его интересы) на основании письменного заявления.</w:t>
      </w:r>
    </w:p>
    <w:p>
      <w:pPr>
        <w:pStyle w:val="Point"/>
        <w:spacing w:before="0" w:after="0"/>
        <w:rPr/>
      </w:pPr>
      <w:r>
        <w:rPr>
          <w:b/>
        </w:rPr>
        <w:t>Расследование несчастного случая на производстве должно быть проведено в срок не более трех рабочих дней</w:t>
      </w:r>
      <w:r>
        <w:rPr/>
        <w:t>.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и других органов и организаций.</w:t>
      </w:r>
    </w:p>
    <w:p>
      <w:pPr>
        <w:pStyle w:val="Point"/>
        <w:spacing w:before="0" w:after="0"/>
        <w:rPr/>
      </w:pPr>
      <w:bookmarkStart w:id="6" w:name="a118"/>
      <w:bookmarkEnd w:id="6"/>
      <w:r>
        <w:rPr/>
        <w:t>При расследовании несчастного случая на производстве:</w:t>
      </w:r>
    </w:p>
    <w:p>
      <w:pPr>
        <w:pStyle w:val="Newncpi"/>
        <w:spacing w:before="0" w:after="0"/>
        <w:rPr/>
      </w:pPr>
      <w:r>
        <w:rPr/>
        <w:t>- проводится обследование состояния условий и охраны труда на месте происшествия несчастного случая;</w:t>
      </w:r>
    </w:p>
    <w:p>
      <w:pPr>
        <w:pStyle w:val="Newncpi"/>
        <w:spacing w:before="0" w:after="0"/>
        <w:rPr/>
      </w:pPr>
      <w:r>
        <w:rPr/>
        <w:t>- при необходимости организуется фотографирование места происшествия несчастного случая, поврежденного объекта, составление схем, эскизов, проведение технических расчетов, лабораторных исследований, испытаний, экспертиз и других мероприятий;</w:t>
      </w:r>
    </w:p>
    <w:p>
      <w:pPr>
        <w:pStyle w:val="Newncpi"/>
        <w:spacing w:before="0" w:after="0"/>
        <w:rPr/>
      </w:pPr>
      <w:r>
        <w:rPr/>
        <w:t>- берутся объяснения, опрашиваются потерпевшие (при возможности), свидетели, должностные и иные лица;</w:t>
      </w:r>
    </w:p>
    <w:p>
      <w:pPr>
        <w:pStyle w:val="Newncpi"/>
        <w:spacing w:before="0" w:after="0"/>
        <w:rPr/>
      </w:pPr>
      <w:r>
        <w:rPr/>
        <w:t>- изучаются необходимые документы;</w:t>
      </w:r>
    </w:p>
    <w:p>
      <w:pPr>
        <w:pStyle w:val="Newncpi"/>
        <w:spacing w:before="0" w:after="0"/>
        <w:rPr/>
      </w:pPr>
      <w:r>
        <w:rPr/>
        <w:t>- устанавливаются обстоятельства, причины несчастного случая, лица, допустившие нарушения актов законодательства, технических нормативных правовых актов, обязательных для соблюдения, локальных правовых актов, разрабатываются мероприятия по устранению причин несчастного случая и предупреждению подобных происшествий.</w:t>
      </w:r>
    </w:p>
    <w:p>
      <w:pPr>
        <w:pStyle w:val="Point"/>
        <w:spacing w:before="0" w:after="0"/>
        <w:rPr/>
      </w:pPr>
      <w:bookmarkStart w:id="7" w:name="a206"/>
      <w:bookmarkEnd w:id="7"/>
      <w:r>
        <w:rPr/>
        <w:t xml:space="preserve">После завершения расследования уполномоченное должностное лицо организации, страхователя с участием лиц, принимавших участие в расследовании несчастного случая, либо страхователь – физическое лицо оформляет </w:t>
      </w:r>
      <w:hyperlink r:id="rId9" w:anchor="a8" w:tgtFrame="+">
        <w:r>
          <w:rPr>
            <w:rStyle w:val="Hyperlink"/>
            <w:color w:val="auto"/>
            <w:u w:val="none"/>
          </w:rPr>
          <w:t>акт</w:t>
        </w:r>
      </w:hyperlink>
      <w:r>
        <w:rPr/>
        <w:t xml:space="preserve"> о несчастном случае на производстве формы Н-1 (далее – акт формы Н-1) в четырех экземплярах.</w:t>
      </w:r>
    </w:p>
    <w:p>
      <w:pPr>
        <w:pStyle w:val="Point"/>
        <w:spacing w:before="0" w:after="0"/>
        <w:rPr/>
      </w:pPr>
      <w:bookmarkStart w:id="8" w:name="a349"/>
      <w:bookmarkEnd w:id="8"/>
      <w:r>
        <w:rPr/>
        <w:t xml:space="preserve">Несчастный случай оформляется актом о непроизводственном несчастном случае </w:t>
      </w:r>
      <w:hyperlink r:id="rId10" w:anchor="a10" w:tgtFrame="+">
        <w:r>
          <w:rPr>
            <w:rStyle w:val="Hyperlink"/>
            <w:color w:val="auto"/>
            <w:u w:val="none"/>
          </w:rPr>
          <w:t>формы</w:t>
        </w:r>
      </w:hyperlink>
      <w:r>
        <w:rPr/>
        <w:t xml:space="preserve"> НП (далее – акт формы НП), если повреждение здоровья, смерть потерпевшего:</w:t>
      </w:r>
    </w:p>
    <w:p>
      <w:pPr>
        <w:pStyle w:val="Underpoint"/>
        <w:numPr>
          <w:ilvl w:val="0"/>
          <w:numId w:val="1"/>
        </w:numPr>
        <w:tabs>
          <w:tab w:val="clear" w:pos="708"/>
          <w:tab w:val="left" w:pos="851" w:leader="none"/>
        </w:tabs>
        <w:spacing w:before="0" w:after="0"/>
        <w:ind w:firstLine="567" w:left="0"/>
        <w:rPr/>
      </w:pPr>
      <w:bookmarkStart w:id="9" w:name="a370"/>
      <w:bookmarkEnd w:id="9"/>
      <w:r>
        <w:rPr/>
        <w:t>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pPr>
        <w:pStyle w:val="Underpoint"/>
        <w:numPr>
          <w:ilvl w:val="0"/>
          <w:numId w:val="1"/>
        </w:numPr>
        <w:tabs>
          <w:tab w:val="clear" w:pos="708"/>
          <w:tab w:val="left" w:pos="851" w:leader="none"/>
        </w:tabs>
        <w:spacing w:before="0" w:after="0"/>
        <w:ind w:firstLine="567" w:left="0"/>
        <w:rPr/>
      </w:pPr>
      <w:bookmarkStart w:id="10" w:name="a352"/>
      <w:bookmarkEnd w:id="10"/>
      <w:r>
        <w:rPr/>
        <w:t>произошли вследствие умышленного причинения вреда своему здоровью;</w:t>
      </w:r>
    </w:p>
    <w:p>
      <w:pPr>
        <w:pStyle w:val="Underpoint"/>
        <w:numPr>
          <w:ilvl w:val="0"/>
          <w:numId w:val="1"/>
        </w:numPr>
        <w:tabs>
          <w:tab w:val="clear" w:pos="708"/>
          <w:tab w:val="left" w:pos="851" w:leader="none"/>
        </w:tabs>
        <w:spacing w:before="0" w:after="0"/>
        <w:ind w:firstLine="567" w:left="0"/>
        <w:rPr/>
      </w:pPr>
      <w:bookmarkStart w:id="11" w:name="a353"/>
      <w:bookmarkEnd w:id="11"/>
      <w:r>
        <w:rPr/>
        <w:t>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pPr>
        <w:pStyle w:val="Underpoint"/>
        <w:numPr>
          <w:ilvl w:val="0"/>
          <w:numId w:val="1"/>
        </w:numPr>
        <w:tabs>
          <w:tab w:val="clear" w:pos="708"/>
          <w:tab w:val="left" w:pos="851" w:leader="none"/>
        </w:tabs>
        <w:spacing w:before="0" w:after="0"/>
        <w:ind w:firstLine="567" w:left="0"/>
        <w:rPr/>
      </w:pPr>
      <w:bookmarkStart w:id="12" w:name="a371"/>
      <w:bookmarkEnd w:id="12"/>
      <w:r>
        <w:rPr/>
        <w:t>обусловлены исключительно заболеванием потерпевшего, имевшимся у него до повреждения здоровья, смерти, подтвержденным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о причинах его смерти;</w:t>
      </w:r>
    </w:p>
    <w:p>
      <w:pPr>
        <w:pStyle w:val="Underpoint"/>
        <w:numPr>
          <w:ilvl w:val="0"/>
          <w:numId w:val="1"/>
        </w:numPr>
        <w:tabs>
          <w:tab w:val="clear" w:pos="708"/>
          <w:tab w:val="left" w:pos="851" w:leader="none"/>
        </w:tabs>
        <w:spacing w:before="0" w:after="0"/>
        <w:ind w:firstLine="567" w:left="0"/>
        <w:rPr/>
      </w:pPr>
      <w:bookmarkStart w:id="13" w:name="a354"/>
      <w:bookmarkEnd w:id="13"/>
      <w:r>
        <w:rPr/>
        <w:t>произошли при одновременном соблюдении следующих условий:</w:t>
      </w:r>
    </w:p>
    <w:p>
      <w:pPr>
        <w:pStyle w:val="Newncpi"/>
        <w:spacing w:before="0" w:after="0"/>
        <w:rPr/>
      </w:pPr>
      <w:r>
        <w:rPr/>
        <w:t xml:space="preserve">- не при исполнении потерпевшим трудовых обязанностей или не при выполнении работы по заданию организации, страхователя (ее (его) уполномоченного должностного лица) </w:t>
      </w:r>
    </w:p>
    <w:p>
      <w:pPr>
        <w:pStyle w:val="Newncpi"/>
        <w:spacing w:before="0" w:after="0"/>
        <w:rPr/>
      </w:pPr>
      <w:r>
        <w:rPr/>
        <w:t>- не при следовании по территории организации, страхователя к рабочему месту и обратно в периоды времени перед началом и после окончания работы,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действий перед началом и после окончания работы и другие.</w:t>
      </w:r>
    </w:p>
    <w:p>
      <w:pPr>
        <w:pStyle w:val="Newncpi"/>
        <w:spacing w:before="0" w:after="0"/>
        <w:rPr/>
      </w:pPr>
      <w:hyperlink r:id="rId11" w:anchor="a10" w:tgtFrame="+">
        <w:r>
          <w:rPr>
            <w:rStyle w:val="Hyperlink"/>
            <w:color w:val="auto"/>
            <w:u w:val="none"/>
          </w:rPr>
          <w:t>Акт</w:t>
        </w:r>
      </w:hyperlink>
      <w:r>
        <w:rPr/>
        <w:t xml:space="preserve"> формы НП составляется уполномоченным должностным лицом организации, страхователя с участием лиц, принимавших участие в расследовании несчастного случая, либо страхователя – физического лица, в четырех экземплярах.</w:t>
      </w:r>
    </w:p>
    <w:p>
      <w:pPr>
        <w:pStyle w:val="Newncpi"/>
        <w:spacing w:before="0" w:after="0"/>
        <w:rPr>
          <w:bCs/>
        </w:rPr>
      </w:pPr>
      <w:r>
        <w:rPr/>
        <w:t>Формы актов Н-1 и НП установлены постановлением Министерства труда и социальной защиты Республики Беларусь и Министерства здравоохранения Республики Беларусь от 14.08.2015 № 51/94 «</w:t>
      </w:r>
      <w:r>
        <w:rPr>
          <w:bCs/>
        </w:rPr>
        <w:t>О документах, необходимых для расследования и учета несчастных случаев на производстве и профессиональных заболеваний».</w:t>
      </w:r>
    </w:p>
    <w:p>
      <w:pPr>
        <w:pStyle w:val="Point"/>
        <w:spacing w:before="0" w:after="0"/>
        <w:rPr/>
      </w:pPr>
      <w:r>
        <w:rPr/>
        <w:t>Страхователь в течение двух рабочих дней по окончании расследования:</w:t>
      </w:r>
    </w:p>
    <w:p>
      <w:pPr>
        <w:pStyle w:val="Newncpi"/>
        <w:spacing w:before="0" w:after="0"/>
        <w:rPr/>
      </w:pPr>
      <w:bookmarkStart w:id="14" w:name="a167"/>
      <w:bookmarkEnd w:id="14"/>
      <w:r>
        <w:rPr/>
        <w:t xml:space="preserve">- рассматривает материалы расследования, утверждает </w:t>
      </w:r>
      <w:hyperlink r:id="rId12" w:anchor="a8" w:tgtFrame="+">
        <w:r>
          <w:rPr>
            <w:rStyle w:val="Hyperlink"/>
            <w:color w:val="auto"/>
            <w:u w:val="none"/>
          </w:rPr>
          <w:t>акт</w:t>
        </w:r>
      </w:hyperlink>
      <w:r>
        <w:rPr/>
        <w:t xml:space="preserve"> формы Н-1 или </w:t>
      </w:r>
      <w:hyperlink r:id="rId13" w:anchor="a10" w:tgtFrame="+">
        <w:r>
          <w:rPr>
            <w:rStyle w:val="Hyperlink"/>
            <w:color w:val="auto"/>
            <w:u w:val="none"/>
          </w:rPr>
          <w:t>акт</w:t>
        </w:r>
      </w:hyperlink>
      <w:r>
        <w:rPr/>
        <w:t xml:space="preserve"> формы НП и регистрирует его в </w:t>
      </w:r>
      <w:hyperlink r:id="rId14" w:anchor="a51" w:tgtFrame="+">
        <w:r>
          <w:rPr>
            <w:rStyle w:val="Hyperlink"/>
            <w:color w:val="auto"/>
            <w:u w:val="none"/>
          </w:rPr>
          <w:t>журнале</w:t>
        </w:r>
      </w:hyperlink>
      <w:r>
        <w:rPr/>
        <w:t xml:space="preserve"> регистрации несчастных случаев;</w:t>
      </w:r>
    </w:p>
    <w:p>
      <w:pPr>
        <w:pStyle w:val="Newncpi"/>
        <w:spacing w:before="0" w:after="0"/>
        <w:rPr/>
      </w:pPr>
      <w:bookmarkStart w:id="15" w:name="a166"/>
      <w:bookmarkEnd w:id="15"/>
      <w:r>
        <w:rPr/>
        <w:t xml:space="preserve">- направляет по одному экземпляру </w:t>
      </w:r>
      <w:hyperlink r:id="rId15" w:anchor="a8" w:tgtFrame="+">
        <w:r>
          <w:rPr>
            <w:rStyle w:val="Hyperlink"/>
            <w:color w:val="auto"/>
            <w:u w:val="none"/>
          </w:rPr>
          <w:t>акта</w:t>
        </w:r>
      </w:hyperlink>
      <w:r>
        <w:rPr/>
        <w:t xml:space="preserve"> формы Н-1 или </w:t>
      </w:r>
      <w:hyperlink r:id="rId16" w:anchor="a10" w:tgtFrame="+">
        <w:r>
          <w:rPr>
            <w:rStyle w:val="Hyperlink"/>
            <w:color w:val="auto"/>
            <w:u w:val="none"/>
          </w:rPr>
          <w:t>акта</w:t>
        </w:r>
      </w:hyperlink>
      <w:r>
        <w:rPr/>
        <w:t xml:space="preserve"> формы НП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pPr>
        <w:pStyle w:val="Newncpi"/>
        <w:spacing w:before="0" w:after="0"/>
        <w:rPr/>
      </w:pPr>
      <w:bookmarkStart w:id="16" w:name="a200"/>
      <w:bookmarkEnd w:id="16"/>
      <w:r>
        <w:rPr/>
        <w:t xml:space="preserve">- направляет один экземпляр </w:t>
      </w:r>
      <w:hyperlink r:id="rId17" w:anchor="a8" w:tgtFrame="+">
        <w:r>
          <w:rPr>
            <w:rStyle w:val="Hyperlink"/>
            <w:color w:val="auto"/>
            <w:u w:val="none"/>
          </w:rPr>
          <w:t>акта</w:t>
        </w:r>
      </w:hyperlink>
      <w:r>
        <w:rPr/>
        <w:t xml:space="preserve"> формы Н-1 или </w:t>
      </w:r>
      <w:hyperlink r:id="rId18" w:anchor="a10" w:tgtFrame="+">
        <w:r>
          <w:rPr>
            <w:rStyle w:val="Hyperlink"/>
            <w:color w:val="auto"/>
            <w:u w:val="none"/>
          </w:rPr>
          <w:t>акта</w:t>
        </w:r>
      </w:hyperlink>
      <w:r>
        <w:rPr/>
        <w:t xml:space="preserve"> формы НП с материалами расследования страховщику;</w:t>
      </w:r>
    </w:p>
    <w:p>
      <w:pPr>
        <w:pStyle w:val="Newncpi"/>
        <w:spacing w:before="0" w:after="0"/>
        <w:rPr/>
      </w:pPr>
      <w:bookmarkStart w:id="17" w:name="a241"/>
      <w:bookmarkEnd w:id="17"/>
      <w:r>
        <w:rPr/>
        <w:t xml:space="preserve">- направляет копии </w:t>
      </w:r>
      <w:hyperlink r:id="rId19" w:anchor="a8" w:tgtFrame="+">
        <w:r>
          <w:rPr>
            <w:rStyle w:val="Hyperlink"/>
            <w:color w:val="auto"/>
            <w:u w:val="none"/>
          </w:rPr>
          <w:t>акта</w:t>
        </w:r>
      </w:hyperlink>
      <w:r>
        <w:rPr/>
        <w:t xml:space="preserve"> формы Н-1 или </w:t>
      </w:r>
      <w:hyperlink r:id="rId20" w:anchor="a10" w:tgtFrame="+">
        <w:r>
          <w:rPr>
            <w:rStyle w:val="Hyperlink"/>
            <w:color w:val="auto"/>
            <w:u w:val="none"/>
          </w:rPr>
          <w:t>акта</w:t>
        </w:r>
      </w:hyperlink>
      <w:r>
        <w:rPr/>
        <w:t xml:space="preserve">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местный исполнительный и распорядительный орган, в вышестоящую организацию.</w:t>
      </w:r>
    </w:p>
    <w:p>
      <w:pPr>
        <w:pStyle w:val="Newncpi"/>
        <w:spacing w:before="0" w:after="0"/>
        <w:rPr/>
      </w:pPr>
      <w:r>
        <w:rPr/>
        <w:t>Страхователь в течение пяти рабочих дней ознакамливает с актом формы Н-1 лиц, допустивших нарушения актов законодательства, технических нормативных правовых актов, обязательных для соблюдения, локальных правовых актов, приведшие к несчастному случаю (в том числе если они не являются работающими у страхователя).</w:t>
      </w:r>
    </w:p>
    <w:p>
      <w:pPr>
        <w:pStyle w:val="Point"/>
        <w:spacing w:before="0" w:after="0"/>
        <w:rPr/>
      </w:pPr>
      <w:bookmarkStart w:id="18" w:name="a293"/>
      <w:bookmarkEnd w:id="18"/>
      <w:r>
        <w:rPr/>
        <w:t>Если в ходе проведения расследования несчастного случая установлено, что он не подпадает под действие настоящих Правил, результаты расследования оформляются уполномоченным должностным лицом организации, страхователя с участием лиц, принимавших участие в расследовании несчастного случая, либо страхователя – физического лица, актом служебного расследования произвольной формы.</w:t>
      </w:r>
    </w:p>
    <w:p>
      <w:pPr>
        <w:pStyle w:val="Newncpi"/>
        <w:spacing w:before="0" w:after="0"/>
        <w:rPr/>
      </w:pPr>
      <w:bookmarkStart w:id="19" w:name="a342"/>
      <w:bookmarkEnd w:id="19"/>
      <w:r>
        <w:rPr/>
        <w:t>Акт служебного расследования составляется в трех экземплярах.</w:t>
      </w:r>
    </w:p>
    <w:p>
      <w:pPr>
        <w:pStyle w:val="Newncpi"/>
        <w:spacing w:before="0" w:after="0"/>
        <w:rPr/>
      </w:pPr>
      <w:bookmarkStart w:id="20" w:name="a343"/>
      <w:bookmarkEnd w:id="20"/>
      <w:r>
        <w:rPr/>
        <w:t>Страхователь в течение двух рабочих дней по окончании расследования:</w:t>
      </w:r>
    </w:p>
    <w:p>
      <w:pPr>
        <w:pStyle w:val="Newncpi"/>
        <w:numPr>
          <w:ilvl w:val="0"/>
          <w:numId w:val="1"/>
        </w:numPr>
        <w:spacing w:before="0" w:after="0"/>
        <w:ind w:firstLine="567" w:left="0"/>
        <w:rPr/>
      </w:pPr>
      <w:r>
        <w:rPr/>
        <w:t>рассматривает материалы расследования, утверждает акт служебного расследования;</w:t>
      </w:r>
    </w:p>
    <w:p>
      <w:pPr>
        <w:pStyle w:val="Newncpi"/>
        <w:numPr>
          <w:ilvl w:val="0"/>
          <w:numId w:val="1"/>
        </w:numPr>
        <w:spacing w:before="0" w:after="0"/>
        <w:ind w:firstLine="567" w:left="0"/>
        <w:rPr/>
      </w:pPr>
      <w:r>
        <w:rPr/>
        <w:t>направляет по одному экземпляру акта служебного расследования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pPr>
        <w:pStyle w:val="Newncpi"/>
        <w:numPr>
          <w:ilvl w:val="0"/>
          <w:numId w:val="1"/>
        </w:numPr>
        <w:spacing w:before="0" w:after="0"/>
        <w:ind w:firstLine="567" w:left="0"/>
        <w:rPr/>
      </w:pPr>
      <w:r>
        <w:rPr/>
        <w:t>направляет копию акта служебного расследования в профсоюз (иной представительный орган работников).</w:t>
      </w:r>
      <w:bookmarkStart w:id="21" w:name="a299"/>
    </w:p>
    <w:p>
      <w:pPr>
        <w:pStyle w:val="Point"/>
        <w:spacing w:before="0" w:after="0"/>
        <w:rPr/>
      </w:pPr>
      <w:hyperlink r:id="rId21" w:tgtFrame="+">
        <w:bookmarkEnd w:id="21"/>
        <w:r>
          <w:rPr>
            <w:rStyle w:val="Hyperlink"/>
            <w:color w:val="auto"/>
            <w:u w:val="none"/>
          </w:rPr>
          <w:t>Акт</w:t>
        </w:r>
      </w:hyperlink>
      <w:r>
        <w:rPr/>
        <w:t xml:space="preserve"> формы Н-1, </w:t>
      </w:r>
      <w:hyperlink r:id="rId22" w:anchor="a10" w:tgtFrame="+">
        <w:r>
          <w:rPr>
            <w:rStyle w:val="Hyperlink"/>
            <w:color w:val="auto"/>
            <w:u w:val="none"/>
          </w:rPr>
          <w:t>акт</w:t>
        </w:r>
      </w:hyperlink>
      <w:r>
        <w:rPr/>
        <w:t xml:space="preserve">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акты формы Н-1, формы НП и акты служебного расследования передаются правопреемнику, а при отсутствии правопреемника – в вышестоящую организацию или по месту регистрации.</w:t>
      </w:r>
    </w:p>
    <w:p>
      <w:pPr>
        <w:pStyle w:val="Point"/>
        <w:spacing w:before="0" w:after="0"/>
        <w:rPr/>
      </w:pPr>
      <w:bookmarkStart w:id="22" w:name="a209"/>
      <w:bookmarkEnd w:id="22"/>
      <w:r>
        <w:rPr/>
        <w:t xml:space="preserve">Несчастный случай, о котором страхователю, организации не поступило </w:t>
      </w:r>
      <w:hyperlink r:id="rId23" w:anchor="a49" w:tgtFrame="+">
        <w:r>
          <w:rPr>
            <w:rStyle w:val="Hyperlink"/>
            <w:color w:val="auto"/>
            <w:u w:val="none"/>
          </w:rPr>
          <w:t>сообщение</w:t>
        </w:r>
      </w:hyperlink>
      <w:r>
        <w:rPr/>
        <w:t xml:space="preserve"> в течение рабочего дня (смены) или вследствие которого потеря трудоспособности наступила не сразу, расследуется в соответствии с настоящими Правилами в течение одного месяца со дня, когда страхователю стало известно о несчастном случае (поступление заявления от работающего или его родственников о несчастном случае, </w:t>
      </w:r>
      <w:hyperlink r:id="rId24" w:anchor="a2" w:tgtFrame="+">
        <w:r>
          <w:rPr>
            <w:rStyle w:val="Hyperlink"/>
            <w:color w:val="auto"/>
            <w:u w:val="none"/>
          </w:rPr>
          <w:t>листка</w:t>
        </w:r>
      </w:hyperlink>
      <w:r>
        <w:rPr/>
        <w:t xml:space="preserve"> нетрудоспособности с записью о производственной травме, иной информации).</w:t>
      </w:r>
    </w:p>
    <w:p>
      <w:pPr>
        <w:pStyle w:val="Point"/>
        <w:spacing w:before="0" w:after="0"/>
        <w:rPr>
          <w:b/>
        </w:rPr>
      </w:pPr>
      <w:r>
        <w:rPr>
          <w:b/>
        </w:rPr>
        <w:t>О групповом несчастном случае, несчастном случае со смертельным исходом организация, страхователь немедленно сообщает:</w:t>
      </w:r>
    </w:p>
    <w:p>
      <w:pPr>
        <w:pStyle w:val="Newncpi"/>
        <w:spacing w:before="0" w:after="0"/>
        <w:rPr/>
      </w:pPr>
      <w:r>
        <w:rPr/>
        <w:t>1) в районный (межрайонный), городской, районный в городе отдел Следственного комитета по месту, где произошел несчастный случай;</w:t>
      </w:r>
    </w:p>
    <w:p>
      <w:pPr>
        <w:pStyle w:val="Newncpi"/>
        <w:spacing w:before="0" w:after="0"/>
        <w:rPr/>
      </w:pPr>
      <w:r>
        <w:rPr/>
        <w:t>2) в обособленное территориальное подразделение Департамента государственной инспекции труда.</w:t>
      </w:r>
    </w:p>
    <w:p>
      <w:pPr>
        <w:pStyle w:val="Newncpi"/>
        <w:spacing w:before="0" w:after="0"/>
        <w:rPr>
          <w:u w:val="single"/>
        </w:rPr>
      </w:pPr>
      <w:r>
        <w:rPr>
          <w:u w:val="single"/>
        </w:rPr>
        <w:t>В частности, организации Слуцкого, Солигорского, Стародорожского, Любанского районов Минской области сообщают в Слуцкий межрайонный отдел Минского областного управления Департамента государственной инспекции труда Министерства труда и социальной защиты Республики Беларусь по телефону 8-01795-5-56-05, 8-029-518-54-00, 8-029-104-96-16 (начальник отдела Гуринович Елена Борисовна, факс – 8-01795-5-30-99.</w:t>
      </w:r>
    </w:p>
    <w:p>
      <w:pPr>
        <w:pStyle w:val="Newncpi"/>
        <w:spacing w:before="0" w:after="0"/>
        <w:rPr/>
      </w:pPr>
      <w:r>
        <w:rPr/>
        <w:t>3) в областное (Минское городское) объединение профсоюзов Федерации профсоюзов Беларуси (при отсутствии профсоюза или иного представительного органа работников);</w:t>
      </w:r>
    </w:p>
    <w:p>
      <w:pPr>
        <w:pStyle w:val="Newncpi"/>
        <w:spacing w:before="0" w:after="0"/>
        <w:rPr/>
      </w:pPr>
      <w:r>
        <w:rPr/>
        <w:t>4) 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pPr>
        <w:pStyle w:val="Newncpi"/>
        <w:spacing w:before="0" w:after="0"/>
        <w:rPr/>
      </w:pPr>
      <w:r>
        <w:rPr/>
        <w:t>5) в территориальный уполномоченный орган надзора, если несчастный случай произошел на поднадзорном ему объекте.</w:t>
      </w:r>
    </w:p>
    <w:p>
      <w:pPr>
        <w:pStyle w:val="Newncpi"/>
        <w:spacing w:before="0" w:after="0"/>
        <w:rPr>
          <w:bCs/>
        </w:rPr>
      </w:pPr>
      <w:r>
        <w:rPr/>
        <w:t>Форма сообщения о несчастном случае на производстве установлена постановлением Министерства труда и социальной защиты Республики Беларусь и Министерства здравоохранения Республики Беларусь от 14.08.2015 № 51/94 «</w:t>
      </w:r>
      <w:r>
        <w:rPr>
          <w:bCs/>
        </w:rPr>
        <w:t>О документах, необходимых для расследования и учета несчастных случаев на производстве и профессиональных заболеваний».</w:t>
      </w:r>
    </w:p>
    <w:p>
      <w:pPr>
        <w:pStyle w:val="Newncpi"/>
        <w:spacing w:before="0" w:after="0"/>
        <w:rPr/>
      </w:pPr>
      <w:r>
        <w:rPr>
          <w:b/>
        </w:rPr>
        <w:t>О несчастных случаях, приведших к тяжелым производственным травмам</w:t>
      </w:r>
      <w:r>
        <w:rPr/>
        <w:t xml:space="preserve">, организация, страхователь </w:t>
      </w:r>
      <w:r>
        <w:rPr>
          <w:b/>
        </w:rPr>
        <w:t>в течение одного рабочего</w:t>
      </w:r>
      <w:r>
        <w:rPr/>
        <w:t xml:space="preserve"> дня </w:t>
      </w:r>
      <w:r>
        <w:rPr>
          <w:b/>
        </w:rPr>
        <w:t>информирует</w:t>
      </w:r>
      <w:r>
        <w:rPr/>
        <w:t xml:space="preserve"> указанные в настоящем пункте органы и организации </w:t>
      </w:r>
      <w:r>
        <w:rPr>
          <w:b/>
        </w:rPr>
        <w:t xml:space="preserve">после получения </w:t>
      </w:r>
      <w:hyperlink r:id="rId25" w:anchor="a48" w:tgtFrame="+">
        <w:r>
          <w:rPr>
            <w:rStyle w:val="Hyperlink"/>
            <w:b/>
            <w:color w:val="auto"/>
            <w:u w:val="none"/>
          </w:rPr>
          <w:t>заключения</w:t>
        </w:r>
      </w:hyperlink>
      <w:r>
        <w:rPr>
          <w:b/>
        </w:rPr>
        <w:t xml:space="preserve"> организации здравоохранения о тяжести производственной травмы потерпевшего</w:t>
      </w:r>
      <w:r>
        <w:rPr/>
        <w:t>.</w:t>
      </w:r>
      <w:bookmarkStart w:id="23" w:name="a380"/>
    </w:p>
    <w:p>
      <w:pPr>
        <w:pStyle w:val="Newncpi"/>
        <w:spacing w:before="0" w:after="0"/>
        <w:rPr/>
      </w:pPr>
      <w:hyperlink r:id="rId26" w:tgtFrame="+">
        <w:bookmarkEnd w:id="23"/>
        <w:r>
          <w:rPr>
            <w:rStyle w:val="Hyperlink"/>
            <w:color w:val="auto"/>
            <w:u w:val="none"/>
          </w:rPr>
          <w:t>Сообщение</w:t>
        </w:r>
      </w:hyperlink>
      <w:r>
        <w:rPr/>
        <w:t xml:space="preserve"> о несчастном случае на производстве передается по телефону, телеграфу, телефаксу, другим средствам связи по форме сообщения о несчастном случае на производстве.</w:t>
      </w:r>
    </w:p>
    <w:p>
      <w:pPr>
        <w:pStyle w:val="Point"/>
        <w:spacing w:before="0" w:after="0"/>
        <w:rPr/>
      </w:pPr>
      <w:r>
        <w:rPr/>
        <w:t xml:space="preserve">О смерти потерпевшего, явившейся следствием несчастного случая на производстве и наступившей в период временной нетрудоспособности, организация, страхователь в течение одного рабочего дня сообщает вышеуказанным организациям.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Обращаем Ваше внимание, что согласно статье 9.20</w:t>
      </w:r>
      <w:r>
        <w:rPr>
          <w:i/>
          <w:sz w:val="24"/>
          <w:szCs w:val="24"/>
          <w:lang w:eastAsia="ru-RU"/>
        </w:rPr>
        <w:t xml:space="preserve"> </w:t>
      </w:r>
      <w:r>
        <w:rPr>
          <w:rFonts w:cs="Times New Roman" w:ascii="Times New Roman" w:hAnsi="Times New Roman"/>
          <w:sz w:val="24"/>
          <w:szCs w:val="24"/>
          <w:lang w:eastAsia="ru-RU"/>
        </w:rPr>
        <w:t>Особенной части Кодекса Республики Беларусь об административных правонарушениях</w:t>
      </w:r>
      <w:r>
        <w:rPr>
          <w:rFonts w:cs="Times New Roman" w:ascii="Times New Roman" w:hAnsi="Times New Roman"/>
          <w:sz w:val="24"/>
          <w:szCs w:val="24"/>
        </w:rPr>
        <w:t xml:space="preserve"> за </w:t>
      </w:r>
      <w:r>
        <w:rPr>
          <w:rFonts w:cs="Times New Roman" w:ascii="Times New Roman" w:hAnsi="Times New Roman"/>
          <w:bCs/>
          <w:sz w:val="24"/>
          <w:szCs w:val="24"/>
        </w:rPr>
        <w:t xml:space="preserve">нарушение правил расследования и учета несчастных случаев на производстве и профессиональных заболеваний </w:t>
      </w:r>
      <w:r>
        <w:rPr>
          <w:rFonts w:cs="Times New Roman" w:ascii="Times New Roman" w:hAnsi="Times New Roman"/>
          <w:b/>
          <w:bCs/>
          <w:sz w:val="24"/>
          <w:szCs w:val="24"/>
        </w:rPr>
        <w:t xml:space="preserve">за </w:t>
      </w:r>
      <w:r>
        <w:rPr>
          <w:rFonts w:cs="Times New Roman" w:ascii="Times New Roman" w:hAnsi="Times New Roman"/>
          <w:b/>
          <w:sz w:val="24"/>
          <w:szCs w:val="24"/>
        </w:rP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w:t>
      </w:r>
      <w:r>
        <w:rPr>
          <w:rFonts w:cs="Times New Roman" w:ascii="Times New Roman" w:hAnsi="Times New Roman"/>
          <w:b/>
          <w:bCs/>
          <w:sz w:val="24"/>
          <w:szCs w:val="24"/>
        </w:rPr>
        <w:t xml:space="preserve"> предусмотрена административная ответственность в виде штрафа </w:t>
      </w:r>
      <w:r>
        <w:rPr>
          <w:rFonts w:cs="Times New Roman" w:ascii="Times New Roman" w:hAnsi="Times New Roman"/>
          <w:b/>
          <w:sz w:val="24"/>
          <w:szCs w:val="24"/>
        </w:rPr>
        <w:t>в размере от десяти до пятидесяти базовых величин</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27.11.2020</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Информацию предоставил</w:t>
      </w:r>
    </w:p>
    <w:p>
      <w:pPr>
        <w:pStyle w:val="NoSpacing"/>
        <w:jc w:val="both"/>
        <w:rPr>
          <w:rFonts w:ascii="Times New Roman" w:hAnsi="Times New Roman"/>
          <w:sz w:val="24"/>
          <w:szCs w:val="24"/>
        </w:rPr>
      </w:pPr>
      <w:r>
        <w:rPr>
          <w:rFonts w:ascii="Times New Roman" w:hAnsi="Times New Roman"/>
          <w:sz w:val="24"/>
          <w:szCs w:val="24"/>
        </w:rPr>
        <w:t>главный государственный инспектор</w:t>
      </w:r>
    </w:p>
    <w:p>
      <w:pPr>
        <w:pStyle w:val="NoSpacing"/>
        <w:jc w:val="both"/>
        <w:rPr>
          <w:rFonts w:ascii="Times New Roman" w:hAnsi="Times New Roman"/>
          <w:sz w:val="24"/>
          <w:szCs w:val="24"/>
        </w:rPr>
      </w:pPr>
      <w:r>
        <w:rPr>
          <w:rFonts w:ascii="Times New Roman" w:hAnsi="Times New Roman"/>
          <w:sz w:val="24"/>
          <w:szCs w:val="24"/>
        </w:rPr>
        <w:t>Слуцкого межрайонного отдела</w:t>
      </w:r>
    </w:p>
    <w:p>
      <w:pPr>
        <w:pStyle w:val="NoSpacing"/>
        <w:jc w:val="both"/>
        <w:rPr>
          <w:rFonts w:ascii="Times New Roman" w:hAnsi="Times New Roman"/>
          <w:sz w:val="24"/>
          <w:szCs w:val="24"/>
        </w:rPr>
      </w:pPr>
      <w:r>
        <w:rPr>
          <w:rFonts w:ascii="Times New Roman" w:hAnsi="Times New Roman"/>
          <w:sz w:val="24"/>
          <w:szCs w:val="24"/>
        </w:rPr>
        <w:t>Минского областного управления</w:t>
      </w:r>
    </w:p>
    <w:p>
      <w:pPr>
        <w:pStyle w:val="NoSpacing"/>
        <w:jc w:val="both"/>
        <w:rPr>
          <w:rFonts w:ascii="Times New Roman" w:hAnsi="Times New Roman"/>
          <w:sz w:val="24"/>
          <w:szCs w:val="24"/>
        </w:rPr>
      </w:pPr>
      <w:r>
        <w:rPr>
          <w:rFonts w:ascii="Times New Roman" w:hAnsi="Times New Roman"/>
          <w:sz w:val="24"/>
          <w:szCs w:val="24"/>
        </w:rPr>
        <w:t>Департамента государственной инспекции труда                                              Гурина Е.И.</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fe70f2"/>
    <w:rPr>
      <w:color w:val="0038C8"/>
      <w:u w:val="single"/>
    </w:rPr>
  </w:style>
  <w:style w:type="character" w:styleId="Style14" w:customStyle="1">
    <w:name w:val="Текст выноски Знак"/>
    <w:basedOn w:val="DefaultParagraphFont"/>
    <w:link w:val="BalloonText"/>
    <w:uiPriority w:val="99"/>
    <w:semiHidden/>
    <w:qFormat/>
    <w:rsid w:val="0028044e"/>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oint" w:customStyle="1">
    <w:name w:val="point"/>
    <w:basedOn w:val="Normal"/>
    <w:qFormat/>
    <w:rsid w:val="00fe70f2"/>
    <w:pPr>
      <w:spacing w:lineRule="auto" w:line="240" w:before="160" w:after="160"/>
      <w:ind w:firstLine="567"/>
      <w:jc w:val="both"/>
    </w:pPr>
    <w:rPr>
      <w:rFonts w:ascii="Times New Roman" w:hAnsi="Times New Roman" w:eastAsia="" w:cs="Times New Roman" w:eastAsiaTheme="minorEastAsia"/>
      <w:sz w:val="24"/>
      <w:szCs w:val="24"/>
      <w:lang w:eastAsia="ru-RU"/>
    </w:rPr>
  </w:style>
  <w:style w:type="paragraph" w:styleId="Newncpi" w:customStyle="1">
    <w:name w:val="newncpi"/>
    <w:basedOn w:val="Normal"/>
    <w:qFormat/>
    <w:rsid w:val="00fe70f2"/>
    <w:pPr>
      <w:spacing w:lineRule="auto" w:line="240" w:before="160" w:after="160"/>
      <w:ind w:firstLine="567"/>
      <w:jc w:val="both"/>
    </w:pPr>
    <w:rPr>
      <w:rFonts w:ascii="Times New Roman" w:hAnsi="Times New Roman" w:eastAsia="" w:cs="Times New Roman" w:eastAsiaTheme="minorEastAsia"/>
      <w:sz w:val="24"/>
      <w:szCs w:val="24"/>
      <w:lang w:eastAsia="ru-RU"/>
    </w:rPr>
  </w:style>
  <w:style w:type="paragraph" w:styleId="Underpoint" w:customStyle="1">
    <w:name w:val="underpoint"/>
    <w:basedOn w:val="Normal"/>
    <w:qFormat/>
    <w:rsid w:val="00fe70f2"/>
    <w:pPr>
      <w:spacing w:lineRule="auto" w:line="240" w:before="160" w:after="160"/>
      <w:ind w:firstLine="567"/>
      <w:jc w:val="both"/>
    </w:pPr>
    <w:rPr>
      <w:rFonts w:ascii="Times New Roman" w:hAnsi="Times New Roman" w:eastAsia="" w:cs="Times New Roman" w:eastAsiaTheme="minorEastAsia"/>
      <w:sz w:val="24"/>
      <w:szCs w:val="24"/>
      <w:lang w:eastAsia="ru-RU"/>
    </w:rPr>
  </w:style>
  <w:style w:type="paragraph" w:styleId="Titleu" w:customStyle="1">
    <w:name w:val="titleu"/>
    <w:basedOn w:val="Normal"/>
    <w:qFormat/>
    <w:rsid w:val="00e5094b"/>
    <w:pPr>
      <w:spacing w:lineRule="auto" w:line="240" w:before="360" w:after="360"/>
    </w:pPr>
    <w:rPr>
      <w:rFonts w:ascii="Times New Roman" w:hAnsi="Times New Roman" w:eastAsia="" w:cs="Times New Roman" w:eastAsiaTheme="minorEastAsia"/>
      <w:b/>
      <w:bCs/>
      <w:sz w:val="24"/>
      <w:szCs w:val="24"/>
      <w:lang w:eastAsia="ru-RU"/>
    </w:rPr>
  </w:style>
  <w:style w:type="paragraph" w:styleId="Part" w:customStyle="1">
    <w:name w:val="part"/>
    <w:basedOn w:val="Normal"/>
    <w:qFormat/>
    <w:rsid w:val="001931b1"/>
    <w:pPr>
      <w:spacing w:lineRule="auto" w:line="240" w:before="360" w:after="360"/>
      <w:jc w:val="center"/>
    </w:pPr>
    <w:rPr>
      <w:rFonts w:ascii="Times New Roman" w:hAnsi="Times New Roman" w:eastAsia="" w:cs="Times New Roman" w:eastAsiaTheme="minorEastAsia"/>
      <w:b/>
      <w:bCs/>
      <w:caps/>
      <w:sz w:val="24"/>
      <w:szCs w:val="24"/>
      <w:lang w:eastAsia="ru-RU"/>
    </w:rPr>
  </w:style>
  <w:style w:type="paragraph" w:styleId="Cap1" w:customStyle="1">
    <w:name w:val="cap1"/>
    <w:basedOn w:val="Normal"/>
    <w:qFormat/>
    <w:rsid w:val="001931b1"/>
    <w:pPr>
      <w:spacing w:lineRule="auto" w:line="240" w:before="0" w:after="0"/>
    </w:pPr>
    <w:rPr>
      <w:rFonts w:ascii="Times New Roman" w:hAnsi="Times New Roman" w:eastAsia="" w:cs="Times New Roman" w:eastAsiaTheme="minorEastAsia"/>
      <w:i/>
      <w:iCs/>
      <w:lang w:eastAsia="ru-RU"/>
    </w:rPr>
  </w:style>
  <w:style w:type="paragraph" w:styleId="NoSpacing">
    <w:name w:val="No Spacing"/>
    <w:uiPriority w:val="99"/>
    <w:qFormat/>
    <w:rsid w:val="007d4896"/>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ConsPlusNormal" w:customStyle="1">
    <w:name w:val="ConsPlusNormal"/>
    <w:qFormat/>
    <w:rsid w:val="007d6775"/>
    <w:pPr>
      <w:widowControl w:val="false"/>
      <w:bidi w:val="0"/>
      <w:spacing w:lineRule="auto" w:line="240" w:before="0" w:after="0"/>
      <w:jc w:val="left"/>
    </w:pPr>
    <w:rPr>
      <w:rFonts w:ascii="Arial" w:hAnsi="Arial" w:eastAsia="" w:cs="Arial" w:eastAsiaTheme="minorEastAsia"/>
      <w:color w:val="auto"/>
      <w:kern w:val="0"/>
      <w:sz w:val="20"/>
      <w:szCs w:val="20"/>
      <w:lang w:eastAsia="ru-RU" w:val="ru-RU" w:bidi="ar-SA"/>
    </w:rPr>
  </w:style>
  <w:style w:type="paragraph" w:styleId="Snoski" w:customStyle="1">
    <w:name w:val="snoski"/>
    <w:basedOn w:val="Normal"/>
    <w:qFormat/>
    <w:rsid w:val="00446382"/>
    <w:pPr>
      <w:spacing w:lineRule="auto" w:line="240" w:before="160" w:after="160"/>
      <w:ind w:firstLine="567"/>
      <w:jc w:val="both"/>
    </w:pPr>
    <w:rPr>
      <w:rFonts w:ascii="Times New Roman" w:hAnsi="Times New Roman" w:eastAsia="" w:cs="Times New Roman" w:eastAsiaTheme="minorEastAsia"/>
      <w:sz w:val="20"/>
      <w:szCs w:val="20"/>
      <w:lang w:eastAsia="ru-RU"/>
    </w:rPr>
  </w:style>
  <w:style w:type="paragraph" w:styleId="Snoskiline" w:customStyle="1">
    <w:name w:val="snoskiline"/>
    <w:basedOn w:val="Normal"/>
    <w:qFormat/>
    <w:rsid w:val="00446382"/>
    <w:pPr>
      <w:spacing w:lineRule="auto" w:line="240" w:before="0" w:after="0"/>
      <w:jc w:val="both"/>
    </w:pPr>
    <w:rPr>
      <w:rFonts w:ascii="Times New Roman" w:hAnsi="Times New Roman" w:eastAsia="" w:cs="Times New Roman" w:eastAsiaTheme="minorEastAsia"/>
      <w:sz w:val="20"/>
      <w:szCs w:val="20"/>
      <w:lang w:eastAsia="ru-RU"/>
    </w:rPr>
  </w:style>
  <w:style w:type="paragraph" w:styleId="BalloonText">
    <w:name w:val="Balloon Text"/>
    <w:basedOn w:val="Normal"/>
    <w:link w:val="Style14"/>
    <w:uiPriority w:val="99"/>
    <w:semiHidden/>
    <w:unhideWhenUsed/>
    <w:qFormat/>
    <w:rsid w:val="0028044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Users/W7U/AppData/Local/Microsoft/Windows/Temporary%20Internet%20Files/Content.Outlook/JD0M03AG/tx.dll%3Fd=24465&amp;a=46" TargetMode="External"/><Relationship Id="rId3" Type="http://schemas.openxmlformats.org/officeDocument/2006/relationships/hyperlink" Target="../../../../../../../../../../../C:/Users/W7U/AppData/Local/Microsoft/Windows/Temporary%20Internet%20Files/Content.Outlook/JD0M03AG/tx.dll%3Fd=204095&amp;a=42" TargetMode="External"/><Relationship Id="rId4" Type="http://schemas.openxmlformats.org/officeDocument/2006/relationships/hyperlink" Target="../../../../../../../../../../../C:/Users/W7U/AppData/Local/Microsoft/Windows/Temporary%20Internet%20Files/Content.Outlook/JD0M03AG/tx.dll%3Fd=24465&amp;a=46" TargetMode="External"/><Relationship Id="rId5" Type="http://schemas.openxmlformats.org/officeDocument/2006/relationships/hyperlink" Target="../../../../../../../../../../../C:/Users/W7U/AppData/Local/Microsoft/Windows/Temporary%20Internet%20Files/Content.Outlook/JD0M03AG/tx.dll%3Fd=24465&amp;a=46" TargetMode="External"/><Relationship Id="rId6" Type="http://schemas.openxmlformats.org/officeDocument/2006/relationships/hyperlink" Target="../../../../../../../../../../../C:/Users/W7U/AppData/Local/Microsoft/Windows/Temporary%20Internet%20Files/Content.Outlook/JD0M03AG/tx.dll%3Fd=310422&amp;a=49" TargetMode="External"/><Relationship Id="rId7" Type="http://schemas.openxmlformats.org/officeDocument/2006/relationships/hyperlink" Target="../../../../../../../../../../../C:/Users/W7U/AppData/Local/Microsoft/Windows/Temporary%20Internet%20Files/Content.Outlook/JD0M03AG/tx.dll%3Fd=310422&amp;a=48" TargetMode="External"/><Relationship Id="rId8" Type="http://schemas.openxmlformats.org/officeDocument/2006/relationships/hyperlink" Target="../../../../../../../../../../../C:/Users/W7U/AppData/Local/Microsoft/Windows/Temporary%20Internet%20Files/Content.Outlook/JD0M03AG/tx.dll%3Fd=310422&amp;a=49" TargetMode="External"/><Relationship Id="rId9" Type="http://schemas.openxmlformats.org/officeDocument/2006/relationships/hyperlink" Target="../../../../../../../../../../../C:/Users/W7U/AppData/Local/Microsoft/Windows/Temporary%20Internet%20Files/Content.Outlook/JD0M03AG/tx.dll%3Fd=310422&amp;a=8" TargetMode="External"/><Relationship Id="rId10" Type="http://schemas.openxmlformats.org/officeDocument/2006/relationships/hyperlink" Target="../../../../../../../../../../../C:/Users/W7U/AppData/Local/Microsoft/Windows/Temporary%20Internet%20Files/Content.Outlook/JD0M03AG/tx.dll%3Fd=310422&amp;a=10" TargetMode="External"/><Relationship Id="rId11" Type="http://schemas.openxmlformats.org/officeDocument/2006/relationships/hyperlink" Target="../../../../../../../../../../../C:/Users/W7U/AppData/Local/Microsoft/Windows/Temporary%20Internet%20Files/Content.Outlook/JD0M03AG/tx.dll%3Fd=310422&amp;a=10" TargetMode="External"/><Relationship Id="rId12" Type="http://schemas.openxmlformats.org/officeDocument/2006/relationships/hyperlink" Target="../../../../../../../../../../../C:/Users/W7U/AppData/Local/Microsoft/Windows/Temporary%20Internet%20Files/Content.Outlook/JD0M03AG/tx.dll%3Fd=310422&amp;a=8" TargetMode="External"/><Relationship Id="rId13" Type="http://schemas.openxmlformats.org/officeDocument/2006/relationships/hyperlink" Target="../../../../../../../../../../../C:/Users/W7U/AppData/Local/Microsoft/Windows/Temporary%20Internet%20Files/Content.Outlook/JD0M03AG/tx.dll%3Fd=310422&amp;a=10" TargetMode="External"/><Relationship Id="rId14" Type="http://schemas.openxmlformats.org/officeDocument/2006/relationships/hyperlink" Target="../../../../../../../../../../../C:/Users/W7U/AppData/Local/Microsoft/Windows/Temporary%20Internet%20Files/Content.Outlook/JD0M03AG/tx.dll%3Fd=310422&amp;a=51" TargetMode="External"/><Relationship Id="rId15" Type="http://schemas.openxmlformats.org/officeDocument/2006/relationships/hyperlink" Target="../../../../../../../../../../../C:/Users/W7U/AppData/Local/Microsoft/Windows/Temporary%20Internet%20Files/Content.Outlook/JD0M03AG/tx.dll%3Fd=310422&amp;a=8" TargetMode="External"/><Relationship Id="rId16" Type="http://schemas.openxmlformats.org/officeDocument/2006/relationships/hyperlink" Target="../../../../../../../../../../../C:/Users/W7U/AppData/Local/Microsoft/Windows/Temporary%20Internet%20Files/Content.Outlook/JD0M03AG/tx.dll%3Fd=310422&amp;a=10" TargetMode="External"/><Relationship Id="rId17" Type="http://schemas.openxmlformats.org/officeDocument/2006/relationships/hyperlink" Target="../../../../../../../../../../../C:/Users/W7U/AppData/Local/Microsoft/Windows/Temporary%20Internet%20Files/Content.Outlook/JD0M03AG/tx.dll%3Fd=310422&amp;a=8" TargetMode="External"/><Relationship Id="rId18" Type="http://schemas.openxmlformats.org/officeDocument/2006/relationships/hyperlink" Target="../../../../../../../../../../../C:/Users/W7U/AppData/Local/Microsoft/Windows/Temporary%20Internet%20Files/Content.Outlook/JD0M03AG/tx.dll%3Fd=310422&amp;a=10" TargetMode="External"/><Relationship Id="rId19" Type="http://schemas.openxmlformats.org/officeDocument/2006/relationships/hyperlink" Target="../../../../../../../../../../../C:/Users/W7U/AppData/Local/Microsoft/Windows/Temporary%20Internet%20Files/Content.Outlook/JD0M03AG/tx.dll%3Fd=310422&amp;a=8" TargetMode="External"/><Relationship Id="rId20" Type="http://schemas.openxmlformats.org/officeDocument/2006/relationships/hyperlink" Target="../../../../../../../../../../../C:/Users/W7U/AppData/Local/Microsoft/Windows/Temporary%20Internet%20Files/Content.Outlook/JD0M03AG/tx.dll%3Fd=310422&amp;a=10" TargetMode="External"/><Relationship Id="rId21" Type="http://schemas.openxmlformats.org/officeDocument/2006/relationships/hyperlink" Target="C:\\Users\\W7U\\AppData\\Local\\Microsoft\\Windows\\Temporary Internet Files\\Content.Outlook\\JD0M03AG\\tx.dll?d=310422&amp;a=8#a8" TargetMode="External"/><Relationship Id="rId22" Type="http://schemas.openxmlformats.org/officeDocument/2006/relationships/hyperlink" Target="../../../../../../../../../../../C:/Users/W7U/AppData/Local/Microsoft/Windows/Temporary%20Internet%20Files/Content.Outlook/JD0M03AG/tx.dll%3Fd=310422&amp;a=10" TargetMode="External"/><Relationship Id="rId23" Type="http://schemas.openxmlformats.org/officeDocument/2006/relationships/hyperlink" Target="../../../../../../../../../../../C:/Users/W7U/AppData/Local/Microsoft/Windows/Temporary%20Internet%20Files/Content.Outlook/JD0M03AG/tx.dll%3Fd=310422&amp;a=49" TargetMode="External"/><Relationship Id="rId24" Type="http://schemas.openxmlformats.org/officeDocument/2006/relationships/hyperlink" Target="../../../../../../../../../../../C:/Users/W7U/AppData/Local/Microsoft/Windows/Temporary%20Internet%20Files/Content.Outlook/JD0M03AG/tx.dll%3Fd=389100&amp;a=2" TargetMode="External"/><Relationship Id="rId25" Type="http://schemas.openxmlformats.org/officeDocument/2006/relationships/hyperlink" Target="../../../../../../../../../../../C:/Users/W7U/AppData/Local/Microsoft/Windows/Temporary%20Internet%20Files/Content.Outlook/JD0M03AG/tx.dll%3Fd=310422&amp;a=48" TargetMode="External"/><Relationship Id="rId26" Type="http://schemas.openxmlformats.org/officeDocument/2006/relationships/hyperlink" Target="C:\\Users\\W7U\\AppData\\Local\\Microsoft\\Windows\\Temporary Internet Files\\Content.Outlook\\JD0M03AG\\tx.dll?d=310422&amp;a=49#a49" TargetMode="Externa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1</Pages>
  <Words>3557</Words>
  <Characters>20281</Characters>
  <CharactersWithSpaces>23791</CharactersWithSpaces>
  <Paragraphs>47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2020-11-30T05:47:00Z</dcterms:created>
  <dc:creator>winuser</dc:creator>
  <dc:description/>
  <dc:language>en-US</dc:language>
  <cp:lastModifiedBy>Win7Ultimate_x64</cp:lastModifiedBy>
  <cp:lastPrinted>2020-08-11T08:37:00Z</cp:lastPrinted>
  <dcterms:modified xsi:type="dcterms:W3CDTF">2020-11-30T08:48:00Z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