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593" w:rsidRPr="005D0593" w:rsidRDefault="005D0593" w:rsidP="005D0593">
      <w:pPr>
        <w:pStyle w:val="ad"/>
        <w:shd w:val="clear" w:color="auto" w:fill="FFFFFF"/>
        <w:spacing w:before="0" w:beforeAutospacing="0" w:after="225" w:afterAutospacing="0"/>
        <w:ind w:right="-143"/>
        <w:jc w:val="center"/>
        <w:rPr>
          <w:rStyle w:val="a9"/>
          <w:rFonts w:eastAsia="Calibri"/>
          <w:color w:val="000000"/>
        </w:rPr>
      </w:pPr>
      <w:r w:rsidRPr="005D0593">
        <w:rPr>
          <w:rStyle w:val="a9"/>
          <w:rFonts w:eastAsia="Calibri"/>
          <w:color w:val="000000"/>
        </w:rPr>
        <w:t xml:space="preserve">ПРЕДВАРИТЕЛЬНОЕ ИНФОРМИРОВАНИЕ ГРАЖДАН И ЮРИДИЧЕСКИХ ЛИЦ О ПЛАНИРУЕМОЙ ХОЗЯЙСТВЕННОЙ И ИНОЙ ДЕЯТЕЛЬНОСТИ ПО </w:t>
      </w:r>
      <w:r>
        <w:rPr>
          <w:rStyle w:val="a9"/>
          <w:rFonts w:eastAsia="Calibri"/>
          <w:color w:val="000000"/>
        </w:rPr>
        <w:t>О</w:t>
      </w:r>
      <w:r w:rsidRPr="005D0593">
        <w:rPr>
          <w:rStyle w:val="a9"/>
          <w:rFonts w:eastAsia="Calibri"/>
          <w:color w:val="000000"/>
        </w:rPr>
        <w:t>БЪЕКТУ</w:t>
      </w:r>
    </w:p>
    <w:p w:rsidR="005D0593" w:rsidRPr="00023A4D" w:rsidRDefault="00023A4D" w:rsidP="00023A4D">
      <w:pPr>
        <w:ind w:firstLine="709"/>
        <w:jc w:val="center"/>
        <w:rPr>
          <w:rStyle w:val="a9"/>
          <w:color w:val="000000"/>
        </w:rPr>
      </w:pPr>
      <w:r w:rsidRPr="00023A4D">
        <w:rPr>
          <w:bCs/>
        </w:rPr>
        <w:t>«</w:t>
      </w:r>
      <w:r w:rsidRPr="00023A4D">
        <w:rPr>
          <w:rStyle w:val="a9"/>
          <w:color w:val="000000"/>
          <w:lang w:bidi="mr-IN"/>
        </w:rPr>
        <w:t>Реконструкция подстанции "Калийная" с установкой АТ-2 напряжением 330/110/1</w:t>
      </w:r>
      <w:r w:rsidR="007756CA">
        <w:rPr>
          <w:rStyle w:val="a9"/>
          <w:color w:val="000000"/>
          <w:lang w:bidi="mr-IN"/>
        </w:rPr>
        <w:t>0</w:t>
      </w:r>
      <w:r w:rsidRPr="00023A4D">
        <w:rPr>
          <w:rStyle w:val="a9"/>
          <w:color w:val="000000"/>
          <w:lang w:bidi="mr-IN"/>
        </w:rPr>
        <w:t xml:space="preserve"> кВ</w:t>
      </w:r>
      <w:r w:rsidRPr="00023A4D">
        <w:rPr>
          <w:rStyle w:val="a9"/>
          <w:lang w:bidi="mr-IN"/>
        </w:rPr>
        <w:t>»</w:t>
      </w:r>
    </w:p>
    <w:p w:rsidR="005D0593" w:rsidRPr="00360803" w:rsidRDefault="005D0593" w:rsidP="005D0593">
      <w:pPr>
        <w:pStyle w:val="ad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60803">
        <w:rPr>
          <w:rStyle w:val="a9"/>
          <w:rFonts w:eastAsia="Calibri"/>
          <w:color w:val="000000"/>
        </w:rPr>
        <w:t>Сведения о заказчике</w:t>
      </w:r>
    </w:p>
    <w:p w:rsidR="005D0593" w:rsidRPr="005D0593" w:rsidRDefault="005D0593" w:rsidP="005D0593">
      <w:pPr>
        <w:suppressAutoHyphens/>
        <w:ind w:firstLine="709"/>
        <w:jc w:val="both"/>
      </w:pPr>
      <w:r w:rsidRPr="005D0593">
        <w:t xml:space="preserve">Заказчиком планируемой хозяйственной деятельности выступает </w:t>
      </w:r>
      <w:r w:rsidR="00610EBD">
        <w:t>ф</w:t>
      </w:r>
      <w:r w:rsidR="003B6983" w:rsidRPr="003B6983">
        <w:t>илиал «Слуцкие электрические сети» РУП «</w:t>
      </w:r>
      <w:proofErr w:type="spellStart"/>
      <w:r w:rsidR="003B6983" w:rsidRPr="003B6983">
        <w:t>Минскэнерго</w:t>
      </w:r>
      <w:proofErr w:type="spellEnd"/>
      <w:r w:rsidR="003B6983" w:rsidRPr="003B6983">
        <w:t>»</w:t>
      </w:r>
      <w:r w:rsidRPr="005D0593">
        <w:t>. Почт</w:t>
      </w:r>
      <w:r w:rsidR="003B6983">
        <w:t>овый адрес: Республика Беларусь,</w:t>
      </w:r>
      <w:r w:rsidRPr="005D0593">
        <w:t xml:space="preserve"> </w:t>
      </w:r>
      <w:r w:rsidR="003B6983" w:rsidRPr="003B6983">
        <w:t>223610, ул</w:t>
      </w:r>
      <w:proofErr w:type="gramStart"/>
      <w:r w:rsidR="003B6983" w:rsidRPr="003B6983">
        <w:t>.Э</w:t>
      </w:r>
      <w:proofErr w:type="gramEnd"/>
      <w:r w:rsidR="003B6983" w:rsidRPr="003B6983">
        <w:t>нергетиков, 1, г.Слуцк, Минская область,</w:t>
      </w:r>
      <w:r w:rsidR="003B6983">
        <w:t xml:space="preserve">, тел.: </w:t>
      </w:r>
      <w:r w:rsidR="003B6983" w:rsidRPr="003B6983">
        <w:t>8 (01795) 61</w:t>
      </w:r>
      <w:r w:rsidR="003B6983">
        <w:t>-</w:t>
      </w:r>
      <w:r w:rsidR="003B6983" w:rsidRPr="003B6983">
        <w:t>12</w:t>
      </w:r>
      <w:r w:rsidR="003B6983">
        <w:t>-</w:t>
      </w:r>
      <w:r w:rsidR="003B6983" w:rsidRPr="003B6983">
        <w:t>3</w:t>
      </w:r>
      <w:r w:rsidR="003B6983">
        <w:t>8</w:t>
      </w:r>
      <w:r w:rsidRPr="005D0593">
        <w:t xml:space="preserve">. </w:t>
      </w:r>
    </w:p>
    <w:p w:rsidR="005D0593" w:rsidRPr="00CC345A" w:rsidRDefault="005D0593" w:rsidP="005D0593">
      <w:pPr>
        <w:suppressAutoHyphens/>
        <w:ind w:firstLine="709"/>
        <w:jc w:val="both"/>
      </w:pPr>
    </w:p>
    <w:p w:rsidR="005D0593" w:rsidRPr="006927FE" w:rsidRDefault="005D0593" w:rsidP="005D0593">
      <w:pPr>
        <w:pStyle w:val="ad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927FE">
        <w:rPr>
          <w:rStyle w:val="a9"/>
          <w:rFonts w:eastAsia="Calibri"/>
          <w:color w:val="000000"/>
        </w:rPr>
        <w:t>График работ по проведению оценки воздействия</w:t>
      </w:r>
    </w:p>
    <w:tbl>
      <w:tblPr>
        <w:tblW w:w="50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582"/>
        <w:gridCol w:w="2976"/>
      </w:tblGrid>
      <w:tr w:rsidR="005D0593" w:rsidRPr="008F714F" w:rsidTr="005D0593">
        <w:tc>
          <w:tcPr>
            <w:tcW w:w="3443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0593" w:rsidRPr="008F714F" w:rsidRDefault="005D0593" w:rsidP="00582C02">
            <w:pPr>
              <w:rPr>
                <w:color w:val="000000"/>
              </w:rPr>
            </w:pPr>
            <w:r w:rsidRPr="008F714F">
              <w:rPr>
                <w:color w:val="000000"/>
              </w:rPr>
              <w:t>Подготовка программы проведения ОВОС</w:t>
            </w:r>
          </w:p>
        </w:tc>
        <w:tc>
          <w:tcPr>
            <w:tcW w:w="1557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0593" w:rsidRPr="008F714F" w:rsidRDefault="005D0593" w:rsidP="003B6983">
            <w:pPr>
              <w:rPr>
                <w:color w:val="000000"/>
              </w:rPr>
            </w:pPr>
            <w:r w:rsidRPr="008F714F">
              <w:rPr>
                <w:color w:val="000000"/>
              </w:rPr>
              <w:t xml:space="preserve">с </w:t>
            </w:r>
            <w:r w:rsidR="003B6983">
              <w:rPr>
                <w:color w:val="000000"/>
              </w:rPr>
              <w:t>3</w:t>
            </w:r>
            <w:r w:rsidRPr="008F714F">
              <w:rPr>
                <w:color w:val="000000"/>
              </w:rPr>
              <w:t>.0</w:t>
            </w:r>
            <w:r w:rsidR="003B6983">
              <w:rPr>
                <w:color w:val="000000"/>
              </w:rPr>
              <w:t>5</w:t>
            </w:r>
            <w:r w:rsidRPr="008F714F">
              <w:rPr>
                <w:color w:val="000000"/>
              </w:rPr>
              <w:t xml:space="preserve">.2021  по </w:t>
            </w:r>
            <w:r w:rsidR="003B6983">
              <w:rPr>
                <w:color w:val="000000"/>
              </w:rPr>
              <w:t>4</w:t>
            </w:r>
            <w:r w:rsidRPr="008F714F">
              <w:rPr>
                <w:color w:val="000000"/>
              </w:rPr>
              <w:t>.0</w:t>
            </w:r>
            <w:r w:rsidR="003B6983">
              <w:rPr>
                <w:color w:val="000000"/>
              </w:rPr>
              <w:t>5</w:t>
            </w:r>
            <w:r w:rsidRPr="008F714F">
              <w:rPr>
                <w:color w:val="000000"/>
              </w:rPr>
              <w:t xml:space="preserve">.2021 </w:t>
            </w:r>
          </w:p>
        </w:tc>
      </w:tr>
      <w:tr w:rsidR="005D0593" w:rsidRPr="009A0690" w:rsidTr="005D0593">
        <w:tc>
          <w:tcPr>
            <w:tcW w:w="3443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D0593" w:rsidRPr="008F714F" w:rsidRDefault="005D0593" w:rsidP="00582C02">
            <w:pPr>
              <w:rPr>
                <w:color w:val="000000"/>
              </w:rPr>
            </w:pPr>
            <w:r w:rsidRPr="008F714F">
              <w:rPr>
                <w:color w:val="000000"/>
              </w:rPr>
              <w:t>Проведение ОВОС и подготовка отчета об ОВОС</w:t>
            </w:r>
          </w:p>
        </w:tc>
        <w:tc>
          <w:tcPr>
            <w:tcW w:w="1557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D0593" w:rsidRPr="008F714F" w:rsidRDefault="005D0593" w:rsidP="003B6983">
            <w:pPr>
              <w:rPr>
                <w:color w:val="000000"/>
              </w:rPr>
            </w:pPr>
            <w:r w:rsidRPr="008F714F">
              <w:rPr>
                <w:color w:val="000000"/>
              </w:rPr>
              <w:t xml:space="preserve">с </w:t>
            </w:r>
            <w:r w:rsidR="003B6983">
              <w:rPr>
                <w:color w:val="000000"/>
              </w:rPr>
              <w:t>5</w:t>
            </w:r>
            <w:r w:rsidRPr="008F714F">
              <w:rPr>
                <w:color w:val="000000"/>
              </w:rPr>
              <w:t>.0</w:t>
            </w:r>
            <w:r w:rsidR="003B6983">
              <w:rPr>
                <w:color w:val="000000"/>
              </w:rPr>
              <w:t>5</w:t>
            </w:r>
            <w:r w:rsidRPr="008F714F">
              <w:rPr>
                <w:color w:val="000000"/>
              </w:rPr>
              <w:t xml:space="preserve">.2021 по </w:t>
            </w:r>
            <w:r w:rsidR="003B6983">
              <w:rPr>
                <w:color w:val="000000"/>
              </w:rPr>
              <w:t>28</w:t>
            </w:r>
            <w:r w:rsidRPr="008F714F">
              <w:rPr>
                <w:color w:val="000000"/>
              </w:rPr>
              <w:t>.0</w:t>
            </w:r>
            <w:r w:rsidR="003B6983">
              <w:rPr>
                <w:color w:val="000000"/>
              </w:rPr>
              <w:t>5</w:t>
            </w:r>
            <w:r w:rsidRPr="008F714F">
              <w:rPr>
                <w:color w:val="000000"/>
              </w:rPr>
              <w:t xml:space="preserve">.2021 </w:t>
            </w:r>
          </w:p>
        </w:tc>
      </w:tr>
      <w:tr w:rsidR="005D0593" w:rsidRPr="009A0690" w:rsidTr="005D0593">
        <w:tc>
          <w:tcPr>
            <w:tcW w:w="3443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D0593" w:rsidRPr="009A0690" w:rsidRDefault="005D0593" w:rsidP="00582C02">
            <w:pPr>
              <w:rPr>
                <w:color w:val="000000"/>
              </w:rPr>
            </w:pPr>
            <w:r w:rsidRPr="009A0690">
              <w:rPr>
                <w:color w:val="000000"/>
              </w:rPr>
              <w:t>Проведение общественных обсуждений (слушаний)</w:t>
            </w:r>
          </w:p>
        </w:tc>
        <w:tc>
          <w:tcPr>
            <w:tcW w:w="1557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D0593" w:rsidRPr="009A0690" w:rsidRDefault="003B6983" w:rsidP="003B6983">
            <w:pPr>
              <w:rPr>
                <w:color w:val="000000"/>
              </w:rPr>
            </w:pPr>
            <w:r w:rsidRPr="00F22F4D">
              <w:rPr>
                <w:color w:val="000000"/>
              </w:rPr>
              <w:t>И</w:t>
            </w:r>
            <w:r w:rsidR="005D0593" w:rsidRPr="00F22F4D">
              <w:rPr>
                <w:color w:val="000000"/>
              </w:rPr>
              <w:t>ю</w:t>
            </w:r>
            <w:r>
              <w:rPr>
                <w:color w:val="000000"/>
              </w:rPr>
              <w:t>л</w:t>
            </w:r>
            <w:r w:rsidR="005D0593" w:rsidRPr="00F22F4D">
              <w:rPr>
                <w:color w:val="000000"/>
              </w:rPr>
              <w:t>ь</w:t>
            </w:r>
            <w:r>
              <w:rPr>
                <w:color w:val="000000"/>
              </w:rPr>
              <w:t>-август</w:t>
            </w:r>
            <w:r w:rsidR="005D0593" w:rsidRPr="009A0690">
              <w:rPr>
                <w:color w:val="000000"/>
              </w:rPr>
              <w:t xml:space="preserve"> 2021 года*</w:t>
            </w:r>
          </w:p>
        </w:tc>
      </w:tr>
      <w:tr w:rsidR="003B6983" w:rsidRPr="009A0690" w:rsidTr="005D0593">
        <w:tc>
          <w:tcPr>
            <w:tcW w:w="3443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B6983" w:rsidRDefault="003B6983">
            <w:pPr>
              <w:pStyle w:val="ad"/>
            </w:pPr>
            <w:r>
              <w:t>Доработка отчета об ОВОС по замечаниям</w:t>
            </w:r>
            <w:r w:rsidR="00610EBD">
              <w:t xml:space="preserve"> (при необходимости)</w:t>
            </w:r>
          </w:p>
        </w:tc>
        <w:tc>
          <w:tcPr>
            <w:tcW w:w="1557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B6983" w:rsidRDefault="00610EBD">
            <w:pPr>
              <w:pStyle w:val="ad"/>
            </w:pPr>
            <w:r>
              <w:t>август 2021 г</w:t>
            </w:r>
          </w:p>
        </w:tc>
      </w:tr>
      <w:tr w:rsidR="003B6983" w:rsidRPr="009A0690" w:rsidTr="005D0593">
        <w:tc>
          <w:tcPr>
            <w:tcW w:w="3443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B6983" w:rsidRDefault="003B6983">
            <w:pPr>
              <w:pStyle w:val="ad"/>
            </w:pPr>
            <w:r>
              <w:t>Представление отчета об ОВОС в составе проектной документации на государственную экологическую экспертизу</w:t>
            </w:r>
          </w:p>
        </w:tc>
        <w:tc>
          <w:tcPr>
            <w:tcW w:w="1557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B6983" w:rsidRDefault="003B6983" w:rsidP="003B6983">
            <w:pPr>
              <w:pStyle w:val="ad"/>
            </w:pPr>
            <w:r>
              <w:t>август 2021 г</w:t>
            </w:r>
          </w:p>
        </w:tc>
      </w:tr>
      <w:tr w:rsidR="003B6983" w:rsidRPr="009A0690" w:rsidTr="005D0593">
        <w:tc>
          <w:tcPr>
            <w:tcW w:w="3443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B6983" w:rsidRDefault="003B6983">
            <w:pPr>
              <w:pStyle w:val="ad"/>
            </w:pPr>
            <w:r>
              <w:t>Принятие решения в отношении планируемой деятельности</w:t>
            </w:r>
          </w:p>
        </w:tc>
        <w:tc>
          <w:tcPr>
            <w:tcW w:w="1557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B6983" w:rsidRDefault="003B6983">
            <w:pPr>
              <w:pStyle w:val="ad"/>
            </w:pPr>
            <w:r>
              <w:t>месяц после получения заключения органов государственной экологической экспертизы</w:t>
            </w:r>
          </w:p>
        </w:tc>
      </w:tr>
    </w:tbl>
    <w:p w:rsidR="005D0593" w:rsidRPr="0008193C" w:rsidRDefault="005D0593" w:rsidP="005D0593">
      <w:pPr>
        <w:pStyle w:val="ad"/>
        <w:shd w:val="clear" w:color="auto" w:fill="FFFFFF"/>
        <w:spacing w:before="0" w:beforeAutospacing="0" w:after="240" w:afterAutospacing="0"/>
        <w:rPr>
          <w:rStyle w:val="a9"/>
          <w:color w:val="000000"/>
        </w:rPr>
      </w:pPr>
      <w:r w:rsidRPr="0008193C">
        <w:rPr>
          <w:color w:val="000000"/>
        </w:rPr>
        <w:t xml:space="preserve">*  указанные сроки могут корректироваться </w:t>
      </w:r>
      <w:r w:rsidRPr="0008193C">
        <w:rPr>
          <w:color w:val="000000"/>
        </w:rPr>
        <w:br/>
      </w:r>
    </w:p>
    <w:p w:rsidR="005D0593" w:rsidRDefault="005D0593" w:rsidP="005D05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Style w:val="a9"/>
          <w:rFonts w:eastAsia="Calibri"/>
          <w:color w:val="000000"/>
        </w:rPr>
      </w:pPr>
      <w:r w:rsidRPr="006927FE">
        <w:rPr>
          <w:rStyle w:val="a9"/>
          <w:rFonts w:eastAsia="Calibri"/>
          <w:color w:val="000000"/>
        </w:rPr>
        <w:t>Сведения о планируемой деятельности и альтернативных вариантах ее размещения и (или) реализации</w:t>
      </w:r>
    </w:p>
    <w:p w:rsidR="00610EBD" w:rsidRDefault="00610EBD" w:rsidP="005D0593">
      <w:pPr>
        <w:suppressAutoHyphens/>
        <w:ind w:firstLine="709"/>
        <w:jc w:val="both"/>
      </w:pPr>
      <w:r>
        <w:t xml:space="preserve">Проектом предусмотрена реконструкция ПС 330 кВ Калийная, </w:t>
      </w:r>
      <w:r w:rsidRPr="00C255D7">
        <w:t xml:space="preserve">реконструкция </w:t>
      </w:r>
      <w:proofErr w:type="gramStart"/>
      <w:r>
        <w:t>ВЛ</w:t>
      </w:r>
      <w:proofErr w:type="gramEnd"/>
      <w:r>
        <w:t xml:space="preserve"> 10 кВ, </w:t>
      </w:r>
      <w:r w:rsidRPr="00C255D7">
        <w:t>110 кВ, 330 кВ.</w:t>
      </w:r>
      <w:r>
        <w:t xml:space="preserve"> ПС 330 кВ Калийная находится на территории </w:t>
      </w:r>
      <w:proofErr w:type="spellStart"/>
      <w:r>
        <w:t>Солигорского</w:t>
      </w:r>
      <w:proofErr w:type="spellEnd"/>
      <w:r>
        <w:t xml:space="preserve"> района, реконструируемые ВЛ на территории </w:t>
      </w:r>
      <w:proofErr w:type="spellStart"/>
      <w:r>
        <w:t>Солигорского</w:t>
      </w:r>
      <w:proofErr w:type="spellEnd"/>
      <w:r>
        <w:t xml:space="preserve">, </w:t>
      </w:r>
      <w:proofErr w:type="spellStart"/>
      <w:r>
        <w:t>Любанского</w:t>
      </w:r>
      <w:proofErr w:type="spellEnd"/>
      <w:r>
        <w:t xml:space="preserve">, </w:t>
      </w:r>
      <w:proofErr w:type="spellStart"/>
      <w:r>
        <w:t>Стародорожского</w:t>
      </w:r>
      <w:proofErr w:type="spellEnd"/>
      <w:r>
        <w:t xml:space="preserve"> районов.</w:t>
      </w:r>
    </w:p>
    <w:p w:rsidR="000043E2" w:rsidRDefault="000043E2" w:rsidP="000043E2">
      <w:pPr>
        <w:suppressAutoHyphens/>
        <w:ind w:firstLine="709"/>
        <w:jc w:val="both"/>
      </w:pPr>
      <w:r>
        <w:t xml:space="preserve">Реконструкция </w:t>
      </w:r>
      <w:proofErr w:type="gramStart"/>
      <w:r>
        <w:t>ВЛ</w:t>
      </w:r>
      <w:proofErr w:type="gramEnd"/>
      <w:r>
        <w:t xml:space="preserve"> связана с тем, что на данный момент ВЛ 10 кВ, 110 кВ, 330 кВ </w:t>
      </w:r>
      <w:r w:rsidRPr="00B12BBF">
        <w:t xml:space="preserve">имеет </w:t>
      </w:r>
      <w:r>
        <w:t xml:space="preserve">значительный </w:t>
      </w:r>
      <w:r w:rsidRPr="00B12BBF">
        <w:t>физический износ существующих опор, что увеличивает вероятность аварийных ситуаций с отключением потребителей от электроснабжения на республиканском уровне.</w:t>
      </w:r>
      <w:r>
        <w:t xml:space="preserve"> </w:t>
      </w:r>
    </w:p>
    <w:p w:rsidR="000043E2" w:rsidRPr="001D6E40" w:rsidRDefault="000043E2" w:rsidP="000043E2">
      <w:pPr>
        <w:suppressAutoHyphens/>
        <w:ind w:firstLine="709"/>
        <w:jc w:val="both"/>
      </w:pPr>
      <w:r w:rsidRPr="001D6E40">
        <w:t xml:space="preserve">Реконструкция ПС </w:t>
      </w:r>
      <w:r>
        <w:t>33</w:t>
      </w:r>
      <w:r w:rsidRPr="001D6E40">
        <w:t xml:space="preserve">0 кВ </w:t>
      </w:r>
      <w:r>
        <w:t xml:space="preserve">Калийная намечается </w:t>
      </w:r>
      <w:r w:rsidRPr="001D6E40">
        <w:t xml:space="preserve">для повышения надежности электроснабжения потребителей </w:t>
      </w:r>
      <w:r>
        <w:t xml:space="preserve">Слуцкого </w:t>
      </w:r>
      <w:proofErr w:type="spellStart"/>
      <w:r w:rsidRPr="001D6E40">
        <w:t>энергоузла</w:t>
      </w:r>
      <w:proofErr w:type="spellEnd"/>
      <w:r w:rsidRPr="001D6E40">
        <w:t>.</w:t>
      </w:r>
    </w:p>
    <w:p w:rsidR="000043E2" w:rsidRDefault="000043E2" w:rsidP="000043E2">
      <w:pPr>
        <w:suppressAutoHyphens/>
        <w:ind w:firstLine="709"/>
        <w:jc w:val="both"/>
      </w:pPr>
      <w:r>
        <w:t xml:space="preserve">Согласно материалам камерального трассирования для реконструкции </w:t>
      </w:r>
      <w:proofErr w:type="gramStart"/>
      <w:r>
        <w:t>ВЛ</w:t>
      </w:r>
      <w:proofErr w:type="gramEnd"/>
      <w:r>
        <w:t> 330 кВ, 110 кВ, 10 кВ в Солигорском районе потребуется отвод 0,0314 га земель в постоянное пользование, 10,0085 га во временное пользование.</w:t>
      </w:r>
    </w:p>
    <w:p w:rsidR="000043E2" w:rsidRDefault="000043E2" w:rsidP="000043E2">
      <w:pPr>
        <w:suppressAutoHyphens/>
        <w:ind w:firstLine="709"/>
        <w:jc w:val="both"/>
      </w:pPr>
      <w:r>
        <w:t xml:space="preserve">Для реконструкции </w:t>
      </w:r>
      <w:proofErr w:type="gramStart"/>
      <w:r>
        <w:t>ВЛ</w:t>
      </w:r>
      <w:proofErr w:type="gramEnd"/>
      <w:r>
        <w:t xml:space="preserve"> 330 кВ, 110 кВ, 10 кВ в </w:t>
      </w:r>
      <w:proofErr w:type="spellStart"/>
      <w:r>
        <w:t>Любанском</w:t>
      </w:r>
      <w:proofErr w:type="spellEnd"/>
      <w:r>
        <w:t xml:space="preserve"> районе потребуется отвод 9,5079 га земель (из них 9,2923 га – лесные земли) в постоянное пользование, 97,5370 га во временное пользование.</w:t>
      </w:r>
    </w:p>
    <w:p w:rsidR="000043E2" w:rsidRDefault="000043E2" w:rsidP="000043E2">
      <w:pPr>
        <w:suppressAutoHyphens/>
        <w:ind w:firstLine="709"/>
        <w:jc w:val="both"/>
      </w:pPr>
      <w:r>
        <w:t xml:space="preserve">Для реконструкции </w:t>
      </w:r>
      <w:proofErr w:type="gramStart"/>
      <w:r>
        <w:t>ВЛ</w:t>
      </w:r>
      <w:proofErr w:type="gramEnd"/>
      <w:r>
        <w:t xml:space="preserve"> 330 кВ, 110 кВ, 10 кВ в </w:t>
      </w:r>
      <w:proofErr w:type="spellStart"/>
      <w:r>
        <w:t>Стародорожском</w:t>
      </w:r>
      <w:proofErr w:type="spellEnd"/>
      <w:r>
        <w:t xml:space="preserve"> районе потребуется отвод 1,0473 га земель (из них 1,0168 га – лесные земли) в постоянное пользование, 27,4858 га во временное пользование.</w:t>
      </w:r>
    </w:p>
    <w:p w:rsidR="00610EBD" w:rsidRDefault="00610EBD" w:rsidP="005D0593">
      <w:pPr>
        <w:suppressAutoHyphens/>
        <w:ind w:firstLine="709"/>
        <w:jc w:val="both"/>
      </w:pPr>
    </w:p>
    <w:p w:rsidR="00610EBD" w:rsidRDefault="00610EBD" w:rsidP="005D0593">
      <w:pPr>
        <w:suppressAutoHyphens/>
        <w:ind w:firstLine="709"/>
        <w:jc w:val="both"/>
      </w:pPr>
    </w:p>
    <w:p w:rsidR="005D0593" w:rsidRDefault="005D0593" w:rsidP="005D0593">
      <w:pPr>
        <w:spacing w:line="320" w:lineRule="exact"/>
        <w:ind w:firstLine="709"/>
        <w:jc w:val="both"/>
        <w:rPr>
          <w:rStyle w:val="a9"/>
          <w:color w:val="000000"/>
        </w:rPr>
      </w:pPr>
    </w:p>
    <w:p w:rsidR="005D0593" w:rsidRPr="00360803" w:rsidRDefault="005D0593" w:rsidP="005D0593">
      <w:pPr>
        <w:spacing w:line="320" w:lineRule="exact"/>
        <w:ind w:firstLine="709"/>
        <w:jc w:val="both"/>
        <w:rPr>
          <w:color w:val="000000"/>
        </w:rPr>
      </w:pPr>
      <w:r w:rsidRPr="00360803">
        <w:rPr>
          <w:rStyle w:val="a9"/>
          <w:color w:val="000000"/>
        </w:rPr>
        <w:lastRenderedPageBreak/>
        <w:t>Рассматриваемые альтернативные варианты</w:t>
      </w:r>
    </w:p>
    <w:p w:rsidR="00A730A0" w:rsidRPr="006D024E" w:rsidRDefault="00A730A0" w:rsidP="00A730A0">
      <w:pPr>
        <w:suppressAutoHyphens/>
        <w:ind w:firstLine="709"/>
        <w:jc w:val="both"/>
      </w:pPr>
      <w:r w:rsidRPr="00A730A0">
        <w:tab/>
      </w:r>
      <w:r w:rsidRPr="006D024E">
        <w:t xml:space="preserve">Согласно техническому заданию разработаны </w:t>
      </w:r>
      <w:r>
        <w:t>два варианта реконструкции ПС,</w:t>
      </w:r>
      <w:r w:rsidRPr="006D024E">
        <w:t xml:space="preserve"> для сохранения надежности электроснабжения предусмотрены 3 этапа:</w:t>
      </w:r>
    </w:p>
    <w:p w:rsidR="00A730A0" w:rsidRPr="006D024E" w:rsidRDefault="00A730A0" w:rsidP="00A730A0">
      <w:pPr>
        <w:suppressAutoHyphens/>
        <w:ind w:firstLine="709"/>
        <w:jc w:val="both"/>
      </w:pPr>
      <w:r w:rsidRPr="006D024E">
        <w:t xml:space="preserve">1-й этап реконструкция: </w:t>
      </w:r>
    </w:p>
    <w:p w:rsidR="00A730A0" w:rsidRPr="006D024E" w:rsidRDefault="00A730A0" w:rsidP="00A730A0">
      <w:pPr>
        <w:suppressAutoHyphens/>
        <w:ind w:firstLine="709"/>
        <w:jc w:val="both"/>
      </w:pPr>
      <w:r w:rsidRPr="006D024E">
        <w:t>- ОРУ 330</w:t>
      </w:r>
      <w:r w:rsidR="008E42DC">
        <w:t xml:space="preserve"> </w:t>
      </w:r>
      <w:r w:rsidRPr="006D024E">
        <w:t>кВ по схеме № 330-7 «Четырехугольник» с установкой одного нового выключателя 330 кВ и заменой трех существующих выключателей 330 кВ с отключением АТ</w:t>
      </w:r>
      <w:proofErr w:type="gramStart"/>
      <w:r w:rsidRPr="006D024E">
        <w:t>1</w:t>
      </w:r>
      <w:proofErr w:type="gramEnd"/>
      <w:r w:rsidRPr="006D024E">
        <w:t xml:space="preserve">; </w:t>
      </w:r>
    </w:p>
    <w:p w:rsidR="00A730A0" w:rsidRPr="006D024E" w:rsidRDefault="00A730A0" w:rsidP="00A730A0">
      <w:pPr>
        <w:suppressAutoHyphens/>
        <w:ind w:firstLine="709"/>
        <w:jc w:val="both"/>
      </w:pPr>
      <w:r w:rsidRPr="006D024E">
        <w:t>- Строительство нового здания ОПУ</w:t>
      </w:r>
      <w:proofErr w:type="gramStart"/>
      <w:r w:rsidRPr="006D024E">
        <w:t>2</w:t>
      </w:r>
      <w:proofErr w:type="gramEnd"/>
      <w:r w:rsidRPr="006D024E">
        <w:t>;</w:t>
      </w:r>
    </w:p>
    <w:p w:rsidR="00A730A0" w:rsidRPr="006D024E" w:rsidRDefault="00A730A0" w:rsidP="00A730A0">
      <w:pPr>
        <w:suppressAutoHyphens/>
        <w:ind w:firstLine="709"/>
        <w:jc w:val="both"/>
      </w:pPr>
      <w:r w:rsidRPr="006D024E">
        <w:t>- установка второго автотрансформатора АТ</w:t>
      </w:r>
      <w:proofErr w:type="gramStart"/>
      <w:r w:rsidRPr="006D024E">
        <w:t>2</w:t>
      </w:r>
      <w:proofErr w:type="gramEnd"/>
      <w:r w:rsidRPr="006D024E">
        <w:t xml:space="preserve"> напряжением 330/110/10 кВ мощностью 200 МВ∙А;</w:t>
      </w:r>
    </w:p>
    <w:p w:rsidR="00A730A0" w:rsidRPr="006D024E" w:rsidRDefault="00A730A0" w:rsidP="00A730A0">
      <w:pPr>
        <w:suppressAutoHyphens/>
        <w:ind w:firstLine="709"/>
        <w:jc w:val="both"/>
      </w:pPr>
      <w:r w:rsidRPr="006D024E">
        <w:t xml:space="preserve">- установка второго разъединителя </w:t>
      </w:r>
      <w:r>
        <w:t>1</w:t>
      </w:r>
      <w:r w:rsidRPr="006D024E">
        <w:t>0 кВ в цепи</w:t>
      </w:r>
      <w:r>
        <w:t xml:space="preserve"> </w:t>
      </w:r>
      <w:r w:rsidRPr="006D024E">
        <w:t xml:space="preserve">ШР 10 кВ для </w:t>
      </w:r>
      <w:r>
        <w:t xml:space="preserve">безопасного обслуживания </w:t>
      </w:r>
      <w:r w:rsidRPr="006D024E">
        <w:t>автотрансформатора</w:t>
      </w:r>
      <w:r>
        <w:t xml:space="preserve"> </w:t>
      </w:r>
      <w:r w:rsidRPr="006D024E">
        <w:t xml:space="preserve"> АТ</w:t>
      </w:r>
      <w:proofErr w:type="gramStart"/>
      <w:r>
        <w:t>1</w:t>
      </w:r>
      <w:proofErr w:type="gramEnd"/>
      <w:r w:rsidRPr="006D024E">
        <w:t>;</w:t>
      </w:r>
    </w:p>
    <w:p w:rsidR="00A730A0" w:rsidRDefault="00A730A0" w:rsidP="00A730A0">
      <w:pPr>
        <w:suppressAutoHyphens/>
        <w:ind w:firstLine="709"/>
        <w:jc w:val="both"/>
      </w:pPr>
      <w:r w:rsidRPr="006D024E">
        <w:t>- установка в цепи 10 кВ АТ</w:t>
      </w:r>
      <w:proofErr w:type="gramStart"/>
      <w:r w:rsidRPr="006D024E">
        <w:t>2</w:t>
      </w:r>
      <w:proofErr w:type="gramEnd"/>
      <w:r w:rsidRPr="006D024E">
        <w:t xml:space="preserve"> токоограничивающего реактора 10 кВ,  разъединителя 10 кВ, </w:t>
      </w:r>
      <w:r>
        <w:t xml:space="preserve">вакуумного выключателя 10 кВ, трансформатора тока 10 кВ, </w:t>
      </w:r>
      <w:r w:rsidRPr="006D024E">
        <w:t xml:space="preserve">линейного регулировочного трансформатора (ЛРТ) напряжением 10/10 кВ мощностью 16 МВ∙А, </w:t>
      </w:r>
      <w:r>
        <w:t>ограничителя перенапряжений</w:t>
      </w:r>
      <w:r w:rsidRPr="005F123E">
        <w:t xml:space="preserve"> ОПН 10 кВ;</w:t>
      </w:r>
    </w:p>
    <w:p w:rsidR="00A730A0" w:rsidRDefault="00A730A0" w:rsidP="00A730A0">
      <w:pPr>
        <w:suppressAutoHyphens/>
        <w:ind w:firstLine="709"/>
        <w:jc w:val="both"/>
      </w:pPr>
      <w:r w:rsidRPr="006D024E">
        <w:t>- установка ТСН-3 с подключением к 3с 10 кВ;</w:t>
      </w:r>
    </w:p>
    <w:p w:rsidR="00A730A0" w:rsidRDefault="00A730A0" w:rsidP="00A730A0">
      <w:pPr>
        <w:suppressAutoHyphens/>
        <w:ind w:firstLine="709"/>
        <w:jc w:val="both"/>
      </w:pPr>
      <w:r>
        <w:t xml:space="preserve">- </w:t>
      </w:r>
      <w:r w:rsidRPr="006D024E">
        <w:t>установка</w:t>
      </w:r>
      <w:r>
        <w:t xml:space="preserve"> пяти новых ячеек на секциях </w:t>
      </w:r>
      <w:r w:rsidRPr="006D024E">
        <w:t>10 кВ;</w:t>
      </w:r>
    </w:p>
    <w:p w:rsidR="00A730A0" w:rsidRDefault="00A730A0" w:rsidP="00A730A0">
      <w:pPr>
        <w:suppressAutoHyphens/>
        <w:ind w:firstLine="709"/>
        <w:jc w:val="both"/>
      </w:pPr>
      <w:r>
        <w:t xml:space="preserve">- </w:t>
      </w:r>
      <w:proofErr w:type="spellStart"/>
      <w:r w:rsidRPr="00DF7098">
        <w:t>ретрофит</w:t>
      </w:r>
      <w:proofErr w:type="spellEnd"/>
      <w:r>
        <w:t xml:space="preserve"> четырех ячеек РУ 10 кВ с заменой трансформаторов тока 10 кВ;</w:t>
      </w:r>
    </w:p>
    <w:p w:rsidR="00A730A0" w:rsidRDefault="00A730A0" w:rsidP="00A730A0">
      <w:pPr>
        <w:suppressAutoHyphens/>
        <w:ind w:firstLine="709"/>
        <w:jc w:val="both"/>
      </w:pPr>
      <w:r>
        <w:t>- установка существующих ячеек  КРУН 10 кВ на новом месте;</w:t>
      </w:r>
    </w:p>
    <w:p w:rsidR="00A730A0" w:rsidRPr="006D024E" w:rsidRDefault="00A730A0" w:rsidP="00A730A0">
      <w:pPr>
        <w:suppressAutoHyphens/>
        <w:ind w:firstLine="709"/>
        <w:jc w:val="both"/>
      </w:pPr>
      <w:r>
        <w:t xml:space="preserve">- </w:t>
      </w:r>
      <w:r w:rsidRPr="00AD6C22">
        <w:t>установка существующ</w:t>
      </w:r>
      <w:r>
        <w:t>его</w:t>
      </w:r>
      <w:r w:rsidRPr="00AD6C22">
        <w:t xml:space="preserve">  трансформатора Т-3 на новом месте;</w:t>
      </w:r>
    </w:p>
    <w:p w:rsidR="00A730A0" w:rsidRPr="006D024E" w:rsidRDefault="00A730A0" w:rsidP="00A730A0">
      <w:pPr>
        <w:suppressAutoHyphens/>
        <w:ind w:firstLine="709"/>
        <w:jc w:val="both"/>
      </w:pPr>
      <w:r w:rsidRPr="006D024E">
        <w:t xml:space="preserve">- реконструкция ОРУ 110 кВ от ячейки №6 до ячейки №23 с установкой 13 выключателей 110 кВ: ШСВ2, в цепи </w:t>
      </w:r>
      <w:proofErr w:type="gramStart"/>
      <w:r w:rsidRPr="006D024E">
        <w:t>ВЛ</w:t>
      </w:r>
      <w:proofErr w:type="gramEnd"/>
      <w:r w:rsidRPr="006D024E">
        <w:t xml:space="preserve"> 110 кВ Драчева, 1СКК, Березовский рудник, 2СКК, 3СКК, АТ2, СВ1, СВ2, Уречье, ШСВ1, </w:t>
      </w:r>
      <w:proofErr w:type="spellStart"/>
      <w:r w:rsidRPr="006D024E">
        <w:t>Сорочи</w:t>
      </w:r>
      <w:proofErr w:type="spellEnd"/>
      <w:r w:rsidRPr="006D024E">
        <w:t>, Т3;</w:t>
      </w:r>
    </w:p>
    <w:p w:rsidR="00A730A0" w:rsidRPr="006D024E" w:rsidRDefault="00A730A0" w:rsidP="00A730A0">
      <w:pPr>
        <w:suppressAutoHyphens/>
        <w:ind w:firstLine="709"/>
        <w:jc w:val="both"/>
      </w:pPr>
      <w:r w:rsidRPr="006D024E">
        <w:t>- сооружение ввода 110 кВ АТ</w:t>
      </w:r>
      <w:proofErr w:type="gramStart"/>
      <w:r w:rsidRPr="006D024E">
        <w:t>2</w:t>
      </w:r>
      <w:proofErr w:type="gramEnd"/>
      <w:r w:rsidRPr="006D024E">
        <w:t xml:space="preserve"> гибкой ошиновкой.</w:t>
      </w:r>
    </w:p>
    <w:p w:rsidR="00A730A0" w:rsidRPr="006D024E" w:rsidRDefault="00A730A0" w:rsidP="00A730A0">
      <w:pPr>
        <w:suppressAutoHyphens/>
        <w:ind w:firstLine="709"/>
        <w:jc w:val="both"/>
      </w:pPr>
      <w:r w:rsidRPr="006D024E">
        <w:t>2-й этап реконструкции:</w:t>
      </w:r>
    </w:p>
    <w:p w:rsidR="00A730A0" w:rsidRPr="006D024E" w:rsidRDefault="00A730A0" w:rsidP="00A730A0">
      <w:pPr>
        <w:suppressAutoHyphens/>
        <w:ind w:firstLine="709"/>
        <w:jc w:val="both"/>
      </w:pPr>
      <w:r w:rsidRPr="006D024E">
        <w:t>- реконструкция ОРУ 110 кВ от ячейки №1 до ячейки №5 с установкой одного выключателя 110 кВ в цепи АТ</w:t>
      </w:r>
      <w:proofErr w:type="gramStart"/>
      <w:r w:rsidRPr="006D024E">
        <w:t>1</w:t>
      </w:r>
      <w:proofErr w:type="gramEnd"/>
      <w:r w:rsidRPr="006D024E">
        <w:t xml:space="preserve">; </w:t>
      </w:r>
    </w:p>
    <w:p w:rsidR="00A730A0" w:rsidRDefault="00A730A0" w:rsidP="00A730A0">
      <w:pPr>
        <w:suppressAutoHyphens/>
        <w:ind w:firstLine="709"/>
        <w:jc w:val="both"/>
      </w:pPr>
      <w:r>
        <w:t>- установка в цепи 10 кВ АТ</w:t>
      </w:r>
      <w:proofErr w:type="gramStart"/>
      <w:r>
        <w:t>1</w:t>
      </w:r>
      <w:proofErr w:type="gramEnd"/>
      <w:r w:rsidRPr="006B7BF2">
        <w:t xml:space="preserve">  разъединителя 10 кВ, выключателя 10 кВ, трансформатора тока 10 кВ, линейного регулировочного трансформатора (ЛРТ) напряжением 10/10 кВ мощностью 16 МВ∙А, </w:t>
      </w:r>
      <w:r>
        <w:t>ограничителя перенапряжений</w:t>
      </w:r>
      <w:r w:rsidRPr="005F123E">
        <w:t xml:space="preserve"> ОПН 10 кВ;</w:t>
      </w:r>
    </w:p>
    <w:p w:rsidR="00A730A0" w:rsidRDefault="00A730A0" w:rsidP="00A730A0">
      <w:pPr>
        <w:suppressAutoHyphens/>
        <w:ind w:firstLine="709"/>
        <w:jc w:val="both"/>
      </w:pPr>
      <w:r w:rsidRPr="006D024E">
        <w:t>- сооружение ввода 110 кВ АТ</w:t>
      </w:r>
      <w:proofErr w:type="gramStart"/>
      <w:r w:rsidRPr="006D024E">
        <w:t>1</w:t>
      </w:r>
      <w:proofErr w:type="gramEnd"/>
      <w:r w:rsidRPr="006D024E">
        <w:t xml:space="preserve"> гибкой ошиновкой.</w:t>
      </w:r>
    </w:p>
    <w:p w:rsidR="00A730A0" w:rsidRPr="006D024E" w:rsidRDefault="00A730A0" w:rsidP="00A730A0">
      <w:pPr>
        <w:suppressAutoHyphens/>
        <w:ind w:firstLine="709"/>
        <w:jc w:val="both"/>
      </w:pPr>
    </w:p>
    <w:p w:rsidR="00A730A0" w:rsidRPr="006D024E" w:rsidRDefault="00A730A0" w:rsidP="00A730A0">
      <w:pPr>
        <w:suppressAutoHyphens/>
        <w:ind w:firstLine="709"/>
        <w:jc w:val="both"/>
      </w:pPr>
      <w:r w:rsidRPr="006D024E">
        <w:t>Вариант 2.</w:t>
      </w:r>
    </w:p>
    <w:p w:rsidR="00A730A0" w:rsidRPr="006D024E" w:rsidRDefault="00A730A0" w:rsidP="00A730A0">
      <w:pPr>
        <w:suppressAutoHyphens/>
        <w:ind w:firstLine="709"/>
        <w:jc w:val="both"/>
      </w:pPr>
      <w:r w:rsidRPr="006D024E">
        <w:t>1-й этап реконструкция:</w:t>
      </w:r>
    </w:p>
    <w:p w:rsidR="00A730A0" w:rsidRPr="006D024E" w:rsidRDefault="00A730A0" w:rsidP="00A730A0">
      <w:pPr>
        <w:suppressAutoHyphens/>
        <w:ind w:firstLine="709"/>
        <w:jc w:val="both"/>
      </w:pPr>
      <w:r w:rsidRPr="006D024E">
        <w:t>- ОРУ 330кВ по схеме № 330-7 «Четырехугольник» с установкой одного нового выключателя 330 кВ и заменой трех существующих выключателей 330 кВ с отключением АТ</w:t>
      </w:r>
      <w:proofErr w:type="gramStart"/>
      <w:r w:rsidRPr="006D024E">
        <w:t>1</w:t>
      </w:r>
      <w:proofErr w:type="gramEnd"/>
      <w:r w:rsidRPr="006D024E">
        <w:t xml:space="preserve">; </w:t>
      </w:r>
    </w:p>
    <w:p w:rsidR="00A730A0" w:rsidRPr="006D024E" w:rsidRDefault="00A730A0" w:rsidP="00A730A0">
      <w:pPr>
        <w:suppressAutoHyphens/>
        <w:ind w:firstLine="709"/>
        <w:jc w:val="both"/>
      </w:pPr>
      <w:r w:rsidRPr="006D024E">
        <w:t>- Строительство нового здания ОПУ</w:t>
      </w:r>
      <w:proofErr w:type="gramStart"/>
      <w:r w:rsidRPr="006D024E">
        <w:t>2</w:t>
      </w:r>
      <w:proofErr w:type="gramEnd"/>
      <w:r w:rsidRPr="006D024E">
        <w:t>;</w:t>
      </w:r>
    </w:p>
    <w:p w:rsidR="00A730A0" w:rsidRPr="006D024E" w:rsidRDefault="00A730A0" w:rsidP="00A730A0">
      <w:pPr>
        <w:suppressAutoHyphens/>
        <w:ind w:firstLine="709"/>
        <w:jc w:val="both"/>
      </w:pPr>
      <w:r w:rsidRPr="006D024E">
        <w:t>- установка второго автотрансформатора АТ</w:t>
      </w:r>
      <w:proofErr w:type="gramStart"/>
      <w:r w:rsidRPr="006D024E">
        <w:t>2</w:t>
      </w:r>
      <w:proofErr w:type="gramEnd"/>
      <w:r w:rsidRPr="006D024E">
        <w:t xml:space="preserve"> напряжением 330/110/10 кВ мощностью 200 МВ∙А;</w:t>
      </w:r>
    </w:p>
    <w:p w:rsidR="00A730A0" w:rsidRPr="005F123E" w:rsidRDefault="00A730A0" w:rsidP="00A730A0">
      <w:pPr>
        <w:suppressAutoHyphens/>
        <w:ind w:firstLine="709"/>
        <w:jc w:val="both"/>
      </w:pPr>
      <w:r w:rsidRPr="006D024E">
        <w:t xml:space="preserve">- </w:t>
      </w:r>
      <w:r w:rsidRPr="005F123E">
        <w:t xml:space="preserve">установка второго разъединителя </w:t>
      </w:r>
      <w:r>
        <w:t>1</w:t>
      </w:r>
      <w:r w:rsidRPr="005F123E">
        <w:t>0 кВ в цепи ШР 10 кВ для безопасного обслуживания автотрансформатора  АТ</w:t>
      </w:r>
      <w:proofErr w:type="gramStart"/>
      <w:r w:rsidRPr="005F123E">
        <w:t>1</w:t>
      </w:r>
      <w:proofErr w:type="gramEnd"/>
      <w:r w:rsidRPr="005F123E">
        <w:t>;</w:t>
      </w:r>
    </w:p>
    <w:p w:rsidR="00A730A0" w:rsidRDefault="00A730A0" w:rsidP="00A730A0">
      <w:pPr>
        <w:suppressAutoHyphens/>
        <w:ind w:firstLine="709"/>
        <w:jc w:val="both"/>
      </w:pPr>
      <w:r w:rsidRPr="006D024E">
        <w:t>- установка в цепи 10 кВ АТ</w:t>
      </w:r>
      <w:proofErr w:type="gramStart"/>
      <w:r w:rsidRPr="006D024E">
        <w:t>2</w:t>
      </w:r>
      <w:proofErr w:type="gramEnd"/>
      <w:r w:rsidRPr="006D024E">
        <w:t xml:space="preserve"> токоограничивающего реактора 10 кВ,  разъединителя 10 кВ, </w:t>
      </w:r>
      <w:r>
        <w:t xml:space="preserve">вакуумного выключателя 10 кВ, трансформатора тока 10 кВ, </w:t>
      </w:r>
      <w:r w:rsidRPr="006D024E">
        <w:t xml:space="preserve">линейного регулировочного трансформатора (ЛРТ) напряжением 10/10 кВ мощностью 16 МВ∙А, </w:t>
      </w:r>
      <w:r>
        <w:t>ограничителя перенапряжений</w:t>
      </w:r>
      <w:r w:rsidRPr="005F123E">
        <w:t xml:space="preserve"> ОПН 10 кВ;</w:t>
      </w:r>
    </w:p>
    <w:p w:rsidR="00A730A0" w:rsidRDefault="00A730A0" w:rsidP="00A730A0">
      <w:pPr>
        <w:suppressAutoHyphens/>
        <w:ind w:firstLine="709"/>
        <w:jc w:val="both"/>
      </w:pPr>
      <w:r w:rsidRPr="006D024E">
        <w:t>- установка ТСН-3 с подключением к 3с 10 кВ;</w:t>
      </w:r>
    </w:p>
    <w:p w:rsidR="00A730A0" w:rsidRDefault="00A730A0" w:rsidP="00A730A0">
      <w:pPr>
        <w:suppressAutoHyphens/>
        <w:ind w:firstLine="709"/>
        <w:jc w:val="both"/>
      </w:pPr>
      <w:r>
        <w:t xml:space="preserve">- </w:t>
      </w:r>
      <w:r w:rsidRPr="006D024E">
        <w:t>установка</w:t>
      </w:r>
      <w:r>
        <w:t xml:space="preserve"> пяти новых ячеек на секциях </w:t>
      </w:r>
      <w:r w:rsidRPr="006D024E">
        <w:t>10 кВ;</w:t>
      </w:r>
    </w:p>
    <w:p w:rsidR="00A730A0" w:rsidRDefault="00A730A0" w:rsidP="00A730A0">
      <w:pPr>
        <w:suppressAutoHyphens/>
        <w:ind w:firstLine="709"/>
        <w:jc w:val="both"/>
      </w:pPr>
      <w:r>
        <w:t xml:space="preserve">- </w:t>
      </w:r>
      <w:proofErr w:type="spellStart"/>
      <w:r w:rsidRPr="00DF7098">
        <w:t>ретрофит</w:t>
      </w:r>
      <w:proofErr w:type="spellEnd"/>
      <w:r>
        <w:t xml:space="preserve"> четырех ячеек РУ 10 кВ с заменой трансформаторов тока 10 кВ;</w:t>
      </w:r>
    </w:p>
    <w:p w:rsidR="00A730A0" w:rsidRDefault="00A730A0" w:rsidP="00A730A0">
      <w:pPr>
        <w:suppressAutoHyphens/>
        <w:ind w:firstLine="709"/>
        <w:jc w:val="both"/>
      </w:pPr>
      <w:r>
        <w:t>- установка существующих ячеек  КРУН 10 кВ на новом месте;</w:t>
      </w:r>
    </w:p>
    <w:p w:rsidR="00A730A0" w:rsidRPr="006D024E" w:rsidRDefault="00A730A0" w:rsidP="00A730A0">
      <w:pPr>
        <w:suppressAutoHyphens/>
        <w:ind w:firstLine="709"/>
        <w:jc w:val="both"/>
      </w:pPr>
      <w:r w:rsidRPr="00AD6C22">
        <w:t>- установка существующего  трансформатора Т-3 на новом месте;</w:t>
      </w:r>
    </w:p>
    <w:p w:rsidR="00A730A0" w:rsidRPr="006D024E" w:rsidRDefault="00A730A0" w:rsidP="00A730A0">
      <w:pPr>
        <w:suppressAutoHyphens/>
        <w:ind w:firstLine="709"/>
        <w:jc w:val="both"/>
      </w:pPr>
      <w:r w:rsidRPr="006D024E">
        <w:lastRenderedPageBreak/>
        <w:t xml:space="preserve">- реконструкция ОРУ 110 кВ от ячейки №6 до ячейки №23 с установкой 13 выключателей 110 кВ: ШСВ2, в цепи </w:t>
      </w:r>
      <w:proofErr w:type="gramStart"/>
      <w:r w:rsidRPr="006D024E">
        <w:t>ВЛ</w:t>
      </w:r>
      <w:proofErr w:type="gramEnd"/>
      <w:r w:rsidRPr="006D024E">
        <w:t xml:space="preserve"> 110 кВ Драчева, 1СКК, Березовский рудник, 2СКК, 3СКК, АТ2, СВ1, СВ2, Уречье, ШСВ1, </w:t>
      </w:r>
      <w:proofErr w:type="spellStart"/>
      <w:r w:rsidRPr="006D024E">
        <w:t>Сорочи</w:t>
      </w:r>
      <w:proofErr w:type="spellEnd"/>
      <w:r w:rsidRPr="006D024E">
        <w:t>, Т3;</w:t>
      </w:r>
    </w:p>
    <w:p w:rsidR="00A730A0" w:rsidRDefault="00A730A0" w:rsidP="00A730A0">
      <w:pPr>
        <w:suppressAutoHyphens/>
        <w:ind w:firstLine="709"/>
        <w:jc w:val="both"/>
      </w:pPr>
      <w:r w:rsidRPr="006D024E">
        <w:t>- сооружение ввода 110 кВ АТ</w:t>
      </w:r>
      <w:proofErr w:type="gramStart"/>
      <w:r w:rsidRPr="006D024E">
        <w:t>2</w:t>
      </w:r>
      <w:proofErr w:type="gramEnd"/>
      <w:r w:rsidRPr="006D024E">
        <w:t xml:space="preserve"> в кабельном исполнении.</w:t>
      </w:r>
      <w:r>
        <w:t xml:space="preserve"> </w:t>
      </w:r>
    </w:p>
    <w:p w:rsidR="00A730A0" w:rsidRPr="006D024E" w:rsidRDefault="00A730A0" w:rsidP="00A730A0">
      <w:pPr>
        <w:suppressAutoHyphens/>
        <w:ind w:firstLine="709"/>
        <w:jc w:val="both"/>
      </w:pPr>
      <w:r w:rsidRPr="006D024E">
        <w:t>2-й этап реконструкции:</w:t>
      </w:r>
    </w:p>
    <w:p w:rsidR="00A730A0" w:rsidRDefault="00A730A0" w:rsidP="00A730A0">
      <w:pPr>
        <w:suppressAutoHyphens/>
        <w:ind w:firstLine="709"/>
        <w:jc w:val="both"/>
      </w:pPr>
      <w:r w:rsidRPr="006D024E">
        <w:t>- реконструкция ОРУ 110 кВ от ячейки №1 до ячейки №5 с установкой одного выключателя 110 кВ в цепи АТ</w:t>
      </w:r>
      <w:proofErr w:type="gramStart"/>
      <w:r w:rsidRPr="006D024E">
        <w:t>1</w:t>
      </w:r>
      <w:proofErr w:type="gramEnd"/>
      <w:r w:rsidRPr="006D024E">
        <w:t xml:space="preserve">; </w:t>
      </w:r>
    </w:p>
    <w:p w:rsidR="00A730A0" w:rsidRPr="006D024E" w:rsidRDefault="00A730A0" w:rsidP="00A730A0">
      <w:pPr>
        <w:suppressAutoHyphens/>
        <w:ind w:firstLine="709"/>
        <w:jc w:val="both"/>
      </w:pPr>
      <w:r>
        <w:t>- установка в цепи 10 кВ АТ</w:t>
      </w:r>
      <w:proofErr w:type="gramStart"/>
      <w:r>
        <w:t>1</w:t>
      </w:r>
      <w:proofErr w:type="gramEnd"/>
      <w:r>
        <w:t xml:space="preserve"> </w:t>
      </w:r>
      <w:r w:rsidRPr="006B7BF2">
        <w:t xml:space="preserve">разъединителя 10 кВ, выключателя 10 кВ, трансформатора тока 10 кВ, линейного регулировочного трансформатора (ЛРТ) напряжением 10/10 кВ мощностью 16 МВ∙А, </w:t>
      </w:r>
      <w:r>
        <w:t>ограничителя перенапряжений</w:t>
      </w:r>
      <w:r w:rsidRPr="005F123E">
        <w:t xml:space="preserve"> ОПН 10 кВ;</w:t>
      </w:r>
    </w:p>
    <w:p w:rsidR="00A730A0" w:rsidRPr="006D024E" w:rsidRDefault="00A730A0" w:rsidP="00A730A0">
      <w:pPr>
        <w:suppressAutoHyphens/>
        <w:ind w:firstLine="709"/>
        <w:jc w:val="both"/>
      </w:pPr>
      <w:r w:rsidRPr="006D024E">
        <w:t>- сооружение ввода 110 кВ АТ</w:t>
      </w:r>
      <w:proofErr w:type="gramStart"/>
      <w:r w:rsidRPr="006D024E">
        <w:t>1</w:t>
      </w:r>
      <w:proofErr w:type="gramEnd"/>
      <w:r w:rsidRPr="006D024E">
        <w:t xml:space="preserve"> в кабельном исполнении.</w:t>
      </w:r>
    </w:p>
    <w:p w:rsidR="00A730A0" w:rsidRDefault="00A730A0" w:rsidP="00A730A0">
      <w:pPr>
        <w:suppressAutoHyphens/>
        <w:ind w:firstLine="709"/>
        <w:jc w:val="both"/>
      </w:pPr>
      <w:r>
        <w:t>В дальнейшем принята реализация 1-го варианта, т</w:t>
      </w:r>
      <w:proofErr w:type="gramStart"/>
      <w:r>
        <w:t>.к</w:t>
      </w:r>
      <w:proofErr w:type="gramEnd"/>
      <w:r>
        <w:t xml:space="preserve"> он экономически целесообразен.</w:t>
      </w:r>
    </w:p>
    <w:p w:rsidR="000043E2" w:rsidRDefault="00A730A0" w:rsidP="000043E2">
      <w:pPr>
        <w:suppressAutoHyphens/>
        <w:ind w:firstLine="709"/>
        <w:jc w:val="both"/>
      </w:pPr>
      <w:bookmarkStart w:id="0" w:name="_GoBack"/>
      <w:bookmarkEnd w:id="0"/>
      <w:r>
        <w:t>Так же в</w:t>
      </w:r>
      <w:r w:rsidR="005D0593" w:rsidRPr="00CD3F12">
        <w:t xml:space="preserve"> качестве альтернативн</w:t>
      </w:r>
      <w:r w:rsidR="000043E2">
        <w:t>ого</w:t>
      </w:r>
      <w:r w:rsidR="005D0593" w:rsidRPr="00CD3F12">
        <w:t xml:space="preserve"> вариант</w:t>
      </w:r>
      <w:r w:rsidR="000043E2">
        <w:t>а</w:t>
      </w:r>
      <w:r w:rsidR="005D0593" w:rsidRPr="00CD3F12">
        <w:t xml:space="preserve"> </w:t>
      </w:r>
      <w:r w:rsidR="000043E2" w:rsidRPr="00031927">
        <w:t>предложена «нулевая» альтернатива – отказ от планируемой деятельности (отказ от реализации проектных решений).</w:t>
      </w:r>
    </w:p>
    <w:sectPr w:rsidR="000043E2" w:rsidSect="005B1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593"/>
    <w:rsid w:val="0000397B"/>
    <w:rsid w:val="000043E2"/>
    <w:rsid w:val="00023A4D"/>
    <w:rsid w:val="000A0084"/>
    <w:rsid w:val="003B6983"/>
    <w:rsid w:val="005B1931"/>
    <w:rsid w:val="005D0593"/>
    <w:rsid w:val="00610EBD"/>
    <w:rsid w:val="006F5C7C"/>
    <w:rsid w:val="00716DE9"/>
    <w:rsid w:val="007756CA"/>
    <w:rsid w:val="0089182B"/>
    <w:rsid w:val="008B0A7D"/>
    <w:rsid w:val="008E42DC"/>
    <w:rsid w:val="00905E53"/>
    <w:rsid w:val="00A730A0"/>
    <w:rsid w:val="00B011FD"/>
    <w:rsid w:val="00BC23C3"/>
    <w:rsid w:val="00CC7921"/>
    <w:rsid w:val="00D16B92"/>
    <w:rsid w:val="00D305EC"/>
    <w:rsid w:val="00E66D9D"/>
    <w:rsid w:val="00F22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5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A00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A008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A0084"/>
    <w:pPr>
      <w:keepNext/>
      <w:keepLines/>
      <w:spacing w:before="200"/>
      <w:outlineLvl w:val="2"/>
    </w:pPr>
    <w:rPr>
      <w:bCs/>
      <w:i/>
      <w:sz w:val="28"/>
      <w:szCs w:val="28"/>
    </w:rPr>
  </w:style>
  <w:style w:type="paragraph" w:styleId="4">
    <w:name w:val="heading 4"/>
    <w:basedOn w:val="a"/>
    <w:next w:val="a"/>
    <w:link w:val="40"/>
    <w:qFormat/>
    <w:rsid w:val="000A008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A008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0084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0A0084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0A0084"/>
    <w:rPr>
      <w:rFonts w:eastAsia="Calibri"/>
      <w:bCs/>
      <w:i/>
      <w:sz w:val="28"/>
      <w:szCs w:val="28"/>
    </w:rPr>
  </w:style>
  <w:style w:type="character" w:customStyle="1" w:styleId="40">
    <w:name w:val="Заголовок 4 Знак"/>
    <w:basedOn w:val="a0"/>
    <w:link w:val="4"/>
    <w:rsid w:val="000A0084"/>
    <w:rPr>
      <w:rFonts w:eastAsia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0A0084"/>
    <w:rPr>
      <w:rFonts w:eastAsia="Calibri"/>
      <w:b/>
      <w:bCs/>
      <w:i/>
      <w:iCs/>
      <w:sz w:val="26"/>
      <w:szCs w:val="26"/>
    </w:rPr>
  </w:style>
  <w:style w:type="paragraph" w:styleId="a3">
    <w:name w:val="Title"/>
    <w:basedOn w:val="a"/>
    <w:next w:val="a"/>
    <w:link w:val="a4"/>
    <w:qFormat/>
    <w:rsid w:val="000A0084"/>
    <w:pPr>
      <w:autoSpaceDE w:val="0"/>
      <w:jc w:val="center"/>
    </w:pPr>
    <w:rPr>
      <w:rFonts w:eastAsia="Times New Roman"/>
      <w:sz w:val="28"/>
      <w:szCs w:val="28"/>
      <w:lang w:eastAsia="ar-SA"/>
    </w:rPr>
  </w:style>
  <w:style w:type="character" w:customStyle="1" w:styleId="a4">
    <w:name w:val="Название Знак"/>
    <w:basedOn w:val="a0"/>
    <w:link w:val="a3"/>
    <w:rsid w:val="000A0084"/>
    <w:rPr>
      <w:sz w:val="28"/>
      <w:szCs w:val="28"/>
      <w:lang w:eastAsia="ar-SA"/>
    </w:rPr>
  </w:style>
  <w:style w:type="paragraph" w:styleId="a5">
    <w:name w:val="Subtitle"/>
    <w:basedOn w:val="a"/>
    <w:next w:val="a"/>
    <w:link w:val="a6"/>
    <w:qFormat/>
    <w:rsid w:val="000A0084"/>
    <w:pPr>
      <w:spacing w:line="360" w:lineRule="auto"/>
    </w:pPr>
    <w:rPr>
      <w:rFonts w:eastAsiaTheme="majorEastAsia" w:cstheme="majorBidi"/>
      <w:sz w:val="28"/>
      <w:lang w:eastAsia="ar-SA"/>
    </w:rPr>
  </w:style>
  <w:style w:type="character" w:customStyle="1" w:styleId="a6">
    <w:name w:val="Подзаголовок Знак"/>
    <w:basedOn w:val="a0"/>
    <w:link w:val="a5"/>
    <w:rsid w:val="000A0084"/>
    <w:rPr>
      <w:rFonts w:eastAsiaTheme="majorEastAsia" w:cstheme="majorBidi"/>
      <w:sz w:val="28"/>
      <w:szCs w:val="24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0A008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A0084"/>
    <w:rPr>
      <w:rFonts w:eastAsia="Calibri"/>
      <w:sz w:val="24"/>
      <w:szCs w:val="24"/>
    </w:rPr>
  </w:style>
  <w:style w:type="character" w:styleId="a9">
    <w:name w:val="Strong"/>
    <w:basedOn w:val="a0"/>
    <w:qFormat/>
    <w:rsid w:val="000A0084"/>
    <w:rPr>
      <w:b/>
      <w:bCs/>
    </w:rPr>
  </w:style>
  <w:style w:type="character" w:styleId="aa">
    <w:name w:val="Emphasis"/>
    <w:basedOn w:val="a0"/>
    <w:qFormat/>
    <w:rsid w:val="000A0084"/>
    <w:rPr>
      <w:i/>
      <w:iCs/>
    </w:rPr>
  </w:style>
  <w:style w:type="paragraph" w:styleId="ab">
    <w:name w:val="No Spacing"/>
    <w:uiPriority w:val="1"/>
    <w:qFormat/>
    <w:rsid w:val="000A0084"/>
    <w:rPr>
      <w:rFonts w:ascii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0A0084"/>
    <w:pPr>
      <w:ind w:left="720"/>
      <w:contextualSpacing/>
    </w:pPr>
    <w:rPr>
      <w:rFonts w:eastAsia="Times New Roman"/>
      <w:szCs w:val="20"/>
    </w:rPr>
  </w:style>
  <w:style w:type="paragraph" w:styleId="ad">
    <w:name w:val="Normal (Web)"/>
    <w:aliases w:val="Обычный (Web)"/>
    <w:basedOn w:val="a"/>
    <w:uiPriority w:val="99"/>
    <w:rsid w:val="005D0593"/>
    <w:pPr>
      <w:spacing w:before="100" w:beforeAutospacing="1" w:after="100" w:afterAutospacing="1"/>
    </w:pPr>
    <w:rPr>
      <w:rFonts w:eastAsia="Times New Roman"/>
      <w:lang w:bidi="mr-IN"/>
    </w:rPr>
  </w:style>
  <w:style w:type="paragraph" w:styleId="ae">
    <w:name w:val="Block Text"/>
    <w:basedOn w:val="a"/>
    <w:rsid w:val="005D0593"/>
    <w:pPr>
      <w:ind w:left="851" w:right="793"/>
      <w:jc w:val="both"/>
    </w:pPr>
    <w:rPr>
      <w:szCs w:val="20"/>
    </w:rPr>
  </w:style>
  <w:style w:type="paragraph" w:customStyle="1" w:styleId="21">
    <w:name w:val="2.1 Текст Основной"/>
    <w:link w:val="210"/>
    <w:qFormat/>
    <w:rsid w:val="000043E2"/>
    <w:pPr>
      <w:suppressAutoHyphens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210">
    <w:name w:val="2.1 Текст Основной Знак"/>
    <w:link w:val="21"/>
    <w:rsid w:val="000043E2"/>
    <w:rPr>
      <w:rFonts w:ascii="Arial" w:eastAsia="Times New Roman" w:hAnsi="Arial" w:cs="Arial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A730A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730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5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A00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A008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A0084"/>
    <w:pPr>
      <w:keepNext/>
      <w:keepLines/>
      <w:spacing w:before="200"/>
      <w:outlineLvl w:val="2"/>
    </w:pPr>
    <w:rPr>
      <w:bCs/>
      <w:i/>
      <w:sz w:val="28"/>
      <w:szCs w:val="28"/>
    </w:rPr>
  </w:style>
  <w:style w:type="paragraph" w:styleId="4">
    <w:name w:val="heading 4"/>
    <w:basedOn w:val="a"/>
    <w:next w:val="a"/>
    <w:link w:val="40"/>
    <w:qFormat/>
    <w:rsid w:val="000A008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A008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0084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0A0084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0A0084"/>
    <w:rPr>
      <w:rFonts w:eastAsia="Calibri"/>
      <w:bCs/>
      <w:i/>
      <w:sz w:val="28"/>
      <w:szCs w:val="28"/>
    </w:rPr>
  </w:style>
  <w:style w:type="character" w:customStyle="1" w:styleId="40">
    <w:name w:val="Заголовок 4 Знак"/>
    <w:basedOn w:val="a0"/>
    <w:link w:val="4"/>
    <w:rsid w:val="000A0084"/>
    <w:rPr>
      <w:rFonts w:eastAsia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0A0084"/>
    <w:rPr>
      <w:rFonts w:eastAsia="Calibri"/>
      <w:b/>
      <w:bCs/>
      <w:i/>
      <w:iCs/>
      <w:sz w:val="26"/>
      <w:szCs w:val="26"/>
    </w:rPr>
  </w:style>
  <w:style w:type="paragraph" w:styleId="a3">
    <w:name w:val="Title"/>
    <w:basedOn w:val="a"/>
    <w:next w:val="a"/>
    <w:link w:val="a4"/>
    <w:qFormat/>
    <w:rsid w:val="000A0084"/>
    <w:pPr>
      <w:autoSpaceDE w:val="0"/>
      <w:jc w:val="center"/>
    </w:pPr>
    <w:rPr>
      <w:rFonts w:eastAsia="Times New Roman"/>
      <w:sz w:val="28"/>
      <w:szCs w:val="28"/>
      <w:lang w:eastAsia="ar-SA"/>
    </w:rPr>
  </w:style>
  <w:style w:type="character" w:customStyle="1" w:styleId="a4">
    <w:name w:val="Название Знак"/>
    <w:basedOn w:val="a0"/>
    <w:link w:val="a3"/>
    <w:rsid w:val="000A0084"/>
    <w:rPr>
      <w:sz w:val="28"/>
      <w:szCs w:val="28"/>
      <w:lang w:eastAsia="ar-SA"/>
    </w:rPr>
  </w:style>
  <w:style w:type="paragraph" w:styleId="a5">
    <w:name w:val="Subtitle"/>
    <w:basedOn w:val="a"/>
    <w:next w:val="a"/>
    <w:link w:val="a6"/>
    <w:qFormat/>
    <w:rsid w:val="000A0084"/>
    <w:pPr>
      <w:spacing w:line="360" w:lineRule="auto"/>
    </w:pPr>
    <w:rPr>
      <w:rFonts w:eastAsiaTheme="majorEastAsia" w:cstheme="majorBidi"/>
      <w:sz w:val="28"/>
      <w:lang w:eastAsia="ar-SA"/>
    </w:rPr>
  </w:style>
  <w:style w:type="character" w:customStyle="1" w:styleId="a6">
    <w:name w:val="Подзаголовок Знак"/>
    <w:basedOn w:val="a0"/>
    <w:link w:val="a5"/>
    <w:rsid w:val="000A0084"/>
    <w:rPr>
      <w:rFonts w:eastAsiaTheme="majorEastAsia" w:cstheme="majorBidi"/>
      <w:sz w:val="28"/>
      <w:szCs w:val="24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0A008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A0084"/>
    <w:rPr>
      <w:rFonts w:eastAsia="Calibri"/>
      <w:sz w:val="24"/>
      <w:szCs w:val="24"/>
    </w:rPr>
  </w:style>
  <w:style w:type="character" w:styleId="a9">
    <w:name w:val="Strong"/>
    <w:basedOn w:val="a0"/>
    <w:qFormat/>
    <w:rsid w:val="000A0084"/>
    <w:rPr>
      <w:b/>
      <w:bCs/>
    </w:rPr>
  </w:style>
  <w:style w:type="character" w:styleId="aa">
    <w:name w:val="Emphasis"/>
    <w:basedOn w:val="a0"/>
    <w:qFormat/>
    <w:rsid w:val="000A0084"/>
    <w:rPr>
      <w:i/>
      <w:iCs/>
    </w:rPr>
  </w:style>
  <w:style w:type="paragraph" w:styleId="ab">
    <w:name w:val="No Spacing"/>
    <w:uiPriority w:val="1"/>
    <w:qFormat/>
    <w:rsid w:val="000A0084"/>
    <w:rPr>
      <w:rFonts w:ascii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0A0084"/>
    <w:pPr>
      <w:ind w:left="720"/>
      <w:contextualSpacing/>
    </w:pPr>
    <w:rPr>
      <w:rFonts w:eastAsia="Times New Roman"/>
      <w:szCs w:val="20"/>
    </w:rPr>
  </w:style>
  <w:style w:type="paragraph" w:styleId="ad">
    <w:name w:val="Normal (Web)"/>
    <w:aliases w:val="Обычный (Web)"/>
    <w:basedOn w:val="a"/>
    <w:uiPriority w:val="99"/>
    <w:rsid w:val="005D0593"/>
    <w:pPr>
      <w:spacing w:before="100" w:beforeAutospacing="1" w:after="100" w:afterAutospacing="1"/>
    </w:pPr>
    <w:rPr>
      <w:rFonts w:eastAsia="Times New Roman"/>
      <w:lang w:bidi="mr-IN"/>
    </w:rPr>
  </w:style>
  <w:style w:type="paragraph" w:styleId="ae">
    <w:name w:val="Block Text"/>
    <w:basedOn w:val="a"/>
    <w:rsid w:val="005D0593"/>
    <w:pPr>
      <w:ind w:left="851" w:right="793"/>
      <w:jc w:val="both"/>
    </w:pPr>
    <w:rPr>
      <w:szCs w:val="20"/>
    </w:rPr>
  </w:style>
  <w:style w:type="paragraph" w:customStyle="1" w:styleId="21">
    <w:name w:val="2.1 Текст Основной"/>
    <w:link w:val="210"/>
    <w:qFormat/>
    <w:rsid w:val="000043E2"/>
    <w:pPr>
      <w:suppressAutoHyphens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210">
    <w:name w:val="2.1 Текст Основной Знак"/>
    <w:link w:val="21"/>
    <w:rsid w:val="000043E2"/>
    <w:rPr>
      <w:rFonts w:ascii="Arial" w:eastAsia="Times New Roman" w:hAnsi="Arial" w:cs="Arial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A730A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730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Besp</Company>
  <LinksUpToDate>false</LinksUpToDate>
  <CharactersWithSpaces>6084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Отдел проектирования Начальник</cp:lastModifiedBy>
  <cp:revision>6</cp:revision>
  <cp:lastPrinted>2021-06-11T10:32:00Z</cp:lastPrinted>
  <dcterms:created xsi:type="dcterms:W3CDTF">2021-06-10T14:06:00Z</dcterms:created>
  <dcterms:modified xsi:type="dcterms:W3CDTF">2021-06-11T11:23:00Z</dcterms:modified>
</cp:coreProperties>
</file>