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8B" w:rsidRPr="00724879" w:rsidRDefault="0043358B" w:rsidP="0043358B">
      <w:pPr>
        <w:shd w:val="clear" w:color="auto" w:fill="FFFFFF"/>
        <w:ind w:right="112"/>
        <w:jc w:val="center"/>
        <w:textAlignment w:val="baseline"/>
        <w:rPr>
          <w:b/>
          <w:bCs/>
          <w:color w:val="222222"/>
          <w:sz w:val="30"/>
          <w:szCs w:val="30"/>
        </w:rPr>
      </w:pPr>
      <w:r w:rsidRPr="00724879">
        <w:rPr>
          <w:b/>
          <w:bCs/>
          <w:color w:val="222222"/>
          <w:sz w:val="30"/>
          <w:szCs w:val="30"/>
        </w:rPr>
        <w:t>ГРАФИКИ</w:t>
      </w:r>
      <w:r w:rsidRPr="00724879">
        <w:rPr>
          <w:b/>
          <w:bCs/>
          <w:color w:val="222222"/>
          <w:sz w:val="30"/>
          <w:szCs w:val="30"/>
        </w:rPr>
        <w:br/>
        <w:t>финансирования и выплаты пенсий, пособий и других социальных выплат через учре</w:t>
      </w:r>
      <w:r w:rsidR="00551170">
        <w:rPr>
          <w:b/>
          <w:bCs/>
          <w:color w:val="222222"/>
          <w:sz w:val="30"/>
          <w:szCs w:val="30"/>
        </w:rPr>
        <w:t xml:space="preserve">ждения банков по </w:t>
      </w:r>
      <w:proofErr w:type="spellStart"/>
      <w:r w:rsidR="00551170">
        <w:rPr>
          <w:b/>
          <w:bCs/>
          <w:color w:val="222222"/>
          <w:sz w:val="30"/>
          <w:szCs w:val="30"/>
        </w:rPr>
        <w:t>Солигорскому</w:t>
      </w:r>
      <w:proofErr w:type="spellEnd"/>
      <w:r w:rsidR="00551170">
        <w:rPr>
          <w:b/>
          <w:bCs/>
          <w:color w:val="222222"/>
          <w:sz w:val="30"/>
          <w:szCs w:val="30"/>
        </w:rPr>
        <w:t xml:space="preserve"> району</w:t>
      </w:r>
      <w:bookmarkStart w:id="0" w:name="_GoBack"/>
      <w:bookmarkEnd w:id="0"/>
    </w:p>
    <w:p w:rsidR="0043358B" w:rsidRPr="00724879" w:rsidRDefault="0043358B" w:rsidP="0043358B">
      <w:pPr>
        <w:shd w:val="clear" w:color="auto" w:fill="FFFFFF"/>
        <w:ind w:right="112"/>
        <w:jc w:val="center"/>
        <w:textAlignment w:val="baseline"/>
        <w:rPr>
          <w:color w:val="222222"/>
          <w:sz w:val="30"/>
          <w:szCs w:val="30"/>
        </w:rPr>
      </w:pPr>
    </w:p>
    <w:p w:rsidR="0043358B" w:rsidRPr="00724879" w:rsidRDefault="0043358B" w:rsidP="0043358B">
      <w:pPr>
        <w:shd w:val="clear" w:color="auto" w:fill="FFFFFF"/>
        <w:ind w:right="112" w:firstLine="708"/>
        <w:jc w:val="both"/>
        <w:textAlignment w:val="baseline"/>
        <w:rPr>
          <w:b/>
          <w:bCs/>
          <w:color w:val="222222"/>
          <w:sz w:val="30"/>
          <w:szCs w:val="30"/>
        </w:rPr>
      </w:pPr>
      <w:proofErr w:type="gramStart"/>
      <w:r w:rsidRPr="00724879">
        <w:rPr>
          <w:sz w:val="30"/>
          <w:szCs w:val="30"/>
        </w:rPr>
        <w:t xml:space="preserve">В рамках реализации норм Договоров о выплате пенсий, пособий </w:t>
      </w:r>
      <w:r w:rsidRPr="00724879">
        <w:rPr>
          <w:sz w:val="30"/>
          <w:szCs w:val="30"/>
        </w:rPr>
        <w:br/>
        <w:t xml:space="preserve">и других социальных выплат, заключенных между </w:t>
      </w:r>
      <w:r w:rsidRPr="00724879">
        <w:rPr>
          <w:rFonts w:eastAsia="Calibri"/>
          <w:color w:val="000000"/>
          <w:sz w:val="30"/>
          <w:szCs w:val="30"/>
        </w:rPr>
        <w:t xml:space="preserve">Министерством труда </w:t>
      </w:r>
      <w:r w:rsidRPr="00724879">
        <w:rPr>
          <w:rFonts w:eastAsia="Calibri"/>
          <w:color w:val="000000"/>
          <w:sz w:val="30"/>
          <w:szCs w:val="30"/>
        </w:rPr>
        <w:br/>
        <w:t>и социальной защиты Республики Беларусь, Министерством финансов Республики Беларусь и банками, к</w:t>
      </w:r>
      <w:r w:rsidRPr="00724879">
        <w:rPr>
          <w:color w:val="222222"/>
          <w:sz w:val="30"/>
          <w:szCs w:val="30"/>
        </w:rPr>
        <w:t xml:space="preserve">омитетом по труду, занятости </w:t>
      </w:r>
      <w:r w:rsidRPr="00724879">
        <w:rPr>
          <w:color w:val="222222"/>
          <w:sz w:val="30"/>
          <w:szCs w:val="30"/>
        </w:rPr>
        <w:br/>
        <w:t xml:space="preserve">и социальной защите Минского облисполкома составлены и согласованы </w:t>
      </w:r>
      <w:r w:rsidR="00E44BB2">
        <w:rPr>
          <w:color w:val="222222"/>
          <w:sz w:val="30"/>
          <w:szCs w:val="30"/>
        </w:rPr>
        <w:br/>
        <w:t>с заинтересованными графики выплаты пенсий и пособий</w:t>
      </w:r>
      <w:r w:rsidRPr="00724879">
        <w:rPr>
          <w:b/>
          <w:bCs/>
          <w:color w:val="222222"/>
          <w:sz w:val="30"/>
          <w:szCs w:val="30"/>
        </w:rPr>
        <w:t>.</w:t>
      </w:r>
      <w:proofErr w:type="gramEnd"/>
    </w:p>
    <w:p w:rsidR="0043358B" w:rsidRPr="00724879" w:rsidRDefault="0043358B" w:rsidP="0043358B">
      <w:pPr>
        <w:ind w:right="112" w:firstLine="708"/>
        <w:jc w:val="both"/>
        <w:rPr>
          <w:rFonts w:eastAsia="Calibri"/>
          <w:sz w:val="30"/>
          <w:szCs w:val="30"/>
          <w:lang w:eastAsia="en-US"/>
        </w:rPr>
      </w:pPr>
      <w:r w:rsidRPr="00724879">
        <w:rPr>
          <w:bCs/>
          <w:color w:val="222222"/>
          <w:sz w:val="30"/>
          <w:szCs w:val="30"/>
        </w:rPr>
        <w:t>Обращаем внимание, что ф</w:t>
      </w:r>
      <w:r w:rsidRPr="00724879">
        <w:rPr>
          <w:rFonts w:eastAsia="Calibri"/>
          <w:sz w:val="30"/>
          <w:szCs w:val="30"/>
          <w:lang w:eastAsia="en-US"/>
        </w:rPr>
        <w:t xml:space="preserve">инансирование банков для выплаты пенсий (пособий) осуществляется за два дня до выплаты. </w:t>
      </w:r>
    </w:p>
    <w:p w:rsidR="0043358B" w:rsidRPr="00724879" w:rsidRDefault="0043358B" w:rsidP="0043358B">
      <w:pPr>
        <w:shd w:val="clear" w:color="auto" w:fill="FFFFFF"/>
        <w:ind w:right="112" w:firstLine="708"/>
        <w:jc w:val="both"/>
        <w:textAlignment w:val="baseline"/>
        <w:rPr>
          <w:color w:val="222222"/>
          <w:sz w:val="30"/>
          <w:szCs w:val="30"/>
        </w:rPr>
      </w:pPr>
      <w:r w:rsidRPr="00724879">
        <w:rPr>
          <w:sz w:val="30"/>
          <w:szCs w:val="30"/>
        </w:rPr>
        <w:t>В интересах граждан, п</w:t>
      </w:r>
      <w:r w:rsidRPr="00724879">
        <w:rPr>
          <w:color w:val="222222"/>
          <w:sz w:val="30"/>
          <w:szCs w:val="30"/>
        </w:rPr>
        <w:t>ри совпадении определённых графиком сроков выплаты пенсий и пособий с выходными днями, государственными праздниками, праздничными днями, установленными и объявленными Президентом Республики Беларусь нерабочими, выплата пенсий и пособий производится накануне их.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276"/>
      </w:tblGrid>
      <w:tr w:rsidR="004F1061" w:rsidRPr="001111B4" w:rsidTr="001111B4">
        <w:trPr>
          <w:trHeight w:val="695"/>
        </w:trPr>
        <w:tc>
          <w:tcPr>
            <w:tcW w:w="3686" w:type="dxa"/>
          </w:tcPr>
          <w:p w:rsidR="004F1061" w:rsidRPr="001111B4" w:rsidRDefault="004F1061" w:rsidP="004F1061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  <w:color w:val="222222"/>
              </w:rPr>
            </w:pPr>
          </w:p>
          <w:p w:rsidR="004F1061" w:rsidRPr="001111B4" w:rsidRDefault="004F1061" w:rsidP="004F1061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  <w:color w:val="222222"/>
              </w:rPr>
            </w:pPr>
            <w:r w:rsidRPr="001111B4">
              <w:rPr>
                <w:b/>
                <w:color w:val="222222"/>
              </w:rPr>
              <w:t>Наименование банка</w:t>
            </w:r>
          </w:p>
        </w:tc>
        <w:tc>
          <w:tcPr>
            <w:tcW w:w="1417" w:type="dxa"/>
          </w:tcPr>
          <w:p w:rsidR="004F1061" w:rsidRPr="001111B4" w:rsidRDefault="004F1061" w:rsidP="004F1061">
            <w:pPr>
              <w:spacing w:after="200" w:line="276" w:lineRule="auto"/>
              <w:jc w:val="center"/>
              <w:rPr>
                <w:b/>
                <w:color w:val="222222"/>
                <w:sz w:val="22"/>
                <w:szCs w:val="22"/>
              </w:rPr>
            </w:pPr>
            <w:r w:rsidRPr="001111B4">
              <w:rPr>
                <w:b/>
                <w:color w:val="222222"/>
                <w:sz w:val="22"/>
                <w:szCs w:val="22"/>
              </w:rPr>
              <w:t>Дата финансирования</w:t>
            </w:r>
          </w:p>
          <w:p w:rsidR="004F1061" w:rsidRPr="001111B4" w:rsidRDefault="004F1061" w:rsidP="004F1061">
            <w:pPr>
              <w:shd w:val="clear" w:color="auto" w:fill="FFFFFF"/>
              <w:ind w:right="112"/>
              <w:jc w:val="center"/>
              <w:textAlignment w:val="baseline"/>
              <w:rPr>
                <w:b/>
                <w:color w:val="222222"/>
              </w:rPr>
            </w:pPr>
          </w:p>
        </w:tc>
        <w:tc>
          <w:tcPr>
            <w:tcW w:w="1276" w:type="dxa"/>
          </w:tcPr>
          <w:p w:rsidR="004F1061" w:rsidRPr="001111B4" w:rsidRDefault="004F1061" w:rsidP="004F1061">
            <w:pPr>
              <w:spacing w:after="200" w:line="276" w:lineRule="auto"/>
              <w:jc w:val="center"/>
              <w:rPr>
                <w:b/>
                <w:color w:val="222222"/>
              </w:rPr>
            </w:pPr>
            <w:r w:rsidRPr="001111B4">
              <w:rPr>
                <w:b/>
                <w:color w:val="222222"/>
              </w:rPr>
              <w:t>Дата</w:t>
            </w:r>
          </w:p>
          <w:p w:rsidR="004F1061" w:rsidRPr="001111B4" w:rsidRDefault="004F1061" w:rsidP="004F1061">
            <w:pPr>
              <w:spacing w:after="200" w:line="276" w:lineRule="auto"/>
              <w:jc w:val="center"/>
              <w:rPr>
                <w:b/>
                <w:color w:val="222222"/>
              </w:rPr>
            </w:pPr>
            <w:r w:rsidRPr="001111B4">
              <w:rPr>
                <w:b/>
                <w:color w:val="222222"/>
              </w:rPr>
              <w:t>выплаты</w:t>
            </w:r>
          </w:p>
          <w:p w:rsidR="004F1061" w:rsidRPr="001111B4" w:rsidRDefault="004F1061" w:rsidP="004F1061">
            <w:pPr>
              <w:shd w:val="clear" w:color="auto" w:fill="FFFFFF"/>
              <w:ind w:right="112"/>
              <w:jc w:val="center"/>
              <w:textAlignment w:val="baseline"/>
              <w:rPr>
                <w:b/>
                <w:color w:val="222222"/>
              </w:rPr>
            </w:pPr>
          </w:p>
        </w:tc>
      </w:tr>
      <w:tr w:rsidR="004F1061" w:rsidRPr="001111B4" w:rsidTr="001111B4">
        <w:trPr>
          <w:trHeight w:val="175"/>
        </w:trPr>
        <w:tc>
          <w:tcPr>
            <w:tcW w:w="3686" w:type="dxa"/>
          </w:tcPr>
          <w:p w:rsidR="004F1061" w:rsidRPr="001111B4" w:rsidRDefault="00865950" w:rsidP="00AD2666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График </w:t>
            </w:r>
            <w:proofErr w:type="spellStart"/>
            <w:r>
              <w:rPr>
                <w:b/>
                <w:color w:val="222222"/>
              </w:rPr>
              <w:t>Беларусбанк</w:t>
            </w:r>
            <w:proofErr w:type="spellEnd"/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  <w:color w:val="222222"/>
              </w:rPr>
            </w:pPr>
            <w:r w:rsidRPr="001111B4">
              <w:rPr>
                <w:b/>
                <w:color w:val="222222"/>
              </w:rPr>
              <w:t>6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  <w:color w:val="222222"/>
              </w:rPr>
            </w:pPr>
            <w:r w:rsidRPr="001111B4">
              <w:rPr>
                <w:b/>
                <w:color w:val="222222"/>
              </w:rPr>
              <w:t>8</w:t>
            </w:r>
          </w:p>
        </w:tc>
      </w:tr>
      <w:tr w:rsidR="004F1061" w:rsidRPr="001111B4" w:rsidTr="001111B4">
        <w:trPr>
          <w:trHeight w:val="265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  <w:color w:val="222222"/>
              </w:rPr>
            </w:pPr>
            <w:hyperlink r:id="rId5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Белагропромбанк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6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8</w:t>
            </w:r>
          </w:p>
        </w:tc>
      </w:tr>
      <w:tr w:rsidR="004F1061" w:rsidRPr="001111B4" w:rsidTr="001111B4">
        <w:trPr>
          <w:trHeight w:val="242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6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</w:hyperlink>
            <w:proofErr w:type="spellStart"/>
            <w:r w:rsidR="00865950">
              <w:rPr>
                <w:b/>
                <w:bdr w:val="none" w:sz="0" w:space="0" w:color="auto" w:frame="1"/>
              </w:rPr>
              <w:t>Сбер</w:t>
            </w:r>
            <w:proofErr w:type="spellEnd"/>
            <w:r w:rsidR="00865950">
              <w:rPr>
                <w:b/>
                <w:bdr w:val="none" w:sz="0" w:space="0" w:color="auto" w:frame="1"/>
              </w:rPr>
              <w:t xml:space="preserve"> Банк</w:t>
            </w:r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6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8</w:t>
            </w:r>
          </w:p>
        </w:tc>
      </w:tr>
      <w:tr w:rsidR="004F1061" w:rsidRPr="001111B4" w:rsidTr="001111B4">
        <w:trPr>
          <w:trHeight w:val="275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7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Приорбанк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5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7</w:t>
            </w:r>
          </w:p>
        </w:tc>
      </w:tr>
      <w:tr w:rsidR="004F1061" w:rsidRPr="001111B4" w:rsidTr="001111B4">
        <w:trPr>
          <w:trHeight w:val="305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8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Белгазпромбанк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19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21</w:t>
            </w:r>
          </w:p>
        </w:tc>
      </w:tr>
      <w:tr w:rsidR="004F1061" w:rsidRPr="001111B4" w:rsidTr="001111B4">
        <w:trPr>
          <w:trHeight w:val="267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9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Банк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Дабрабыт</w:t>
              </w:r>
              <w:proofErr w:type="spellEnd"/>
            </w:hyperlink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19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21</w:t>
            </w:r>
          </w:p>
        </w:tc>
      </w:tr>
      <w:tr w:rsidR="004F1061" w:rsidRPr="001111B4" w:rsidTr="001111B4">
        <w:trPr>
          <w:trHeight w:val="274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10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Белвнешэкономбанк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19</w:t>
            </w:r>
          </w:p>
        </w:tc>
        <w:tc>
          <w:tcPr>
            <w:tcW w:w="1276" w:type="dxa"/>
          </w:tcPr>
          <w:p w:rsidR="004F1061" w:rsidRPr="001111B4" w:rsidRDefault="004F1061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 w:rsidRPr="001111B4">
              <w:rPr>
                <w:b/>
              </w:rPr>
              <w:t>21</w:t>
            </w:r>
          </w:p>
        </w:tc>
      </w:tr>
      <w:tr w:rsidR="004F1061" w:rsidRPr="001111B4" w:rsidTr="001111B4">
        <w:trPr>
          <w:trHeight w:val="263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11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Белинвестбанк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865950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</w:tcPr>
          <w:p w:rsidR="004F1061" w:rsidRPr="001111B4" w:rsidRDefault="00865950" w:rsidP="00AD2666">
            <w:pPr>
              <w:shd w:val="clear" w:color="auto" w:fill="FFFFFF"/>
              <w:ind w:right="112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F1061" w:rsidRPr="001111B4" w:rsidTr="001111B4">
        <w:trPr>
          <w:trHeight w:val="271"/>
        </w:trPr>
        <w:tc>
          <w:tcPr>
            <w:tcW w:w="3686" w:type="dxa"/>
          </w:tcPr>
          <w:p w:rsidR="004F1061" w:rsidRPr="001111B4" w:rsidRDefault="00551170" w:rsidP="00865950">
            <w:pPr>
              <w:shd w:val="clear" w:color="auto" w:fill="FFFFFF"/>
              <w:ind w:left="79" w:right="112"/>
              <w:jc w:val="center"/>
              <w:textAlignment w:val="baseline"/>
              <w:rPr>
                <w:b/>
              </w:rPr>
            </w:pPr>
            <w:hyperlink r:id="rId12" w:history="1">
              <w:r w:rsidR="004F1061" w:rsidRPr="001111B4">
                <w:rPr>
                  <w:b/>
                  <w:bdr w:val="none" w:sz="0" w:space="0" w:color="auto" w:frame="1"/>
                </w:rPr>
                <w:t xml:space="preserve">График </w:t>
              </w:r>
              <w:proofErr w:type="spellStart"/>
              <w:r w:rsidR="004F1061" w:rsidRPr="001111B4">
                <w:rPr>
                  <w:b/>
                  <w:bdr w:val="none" w:sz="0" w:space="0" w:color="auto" w:frame="1"/>
                </w:rPr>
                <w:t>МТБанк</w:t>
              </w:r>
              <w:proofErr w:type="spellEnd"/>
              <w:r w:rsidR="004F1061" w:rsidRPr="001111B4">
                <w:rPr>
                  <w:b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417" w:type="dxa"/>
          </w:tcPr>
          <w:p w:rsidR="004F1061" w:rsidRPr="001111B4" w:rsidRDefault="00515B5C" w:rsidP="00515B5C">
            <w:pPr>
              <w:spacing w:after="200" w:line="276" w:lineRule="auto"/>
              <w:rPr>
                <w:b/>
              </w:rPr>
            </w:pPr>
            <w:r w:rsidRPr="001111B4">
              <w:rPr>
                <w:b/>
              </w:rPr>
              <w:t xml:space="preserve">    </w:t>
            </w:r>
            <w:r w:rsidR="001111B4" w:rsidRPr="001111B4">
              <w:rPr>
                <w:b/>
                <w:lang w:val="en-US"/>
              </w:rPr>
              <w:t xml:space="preserve">  </w:t>
            </w:r>
            <w:r w:rsidRPr="001111B4">
              <w:rPr>
                <w:b/>
              </w:rPr>
              <w:t xml:space="preserve"> </w:t>
            </w:r>
            <w:r w:rsidR="004F1061" w:rsidRPr="001111B4">
              <w:rPr>
                <w:b/>
              </w:rPr>
              <w:t>19</w:t>
            </w:r>
          </w:p>
        </w:tc>
        <w:tc>
          <w:tcPr>
            <w:tcW w:w="1276" w:type="dxa"/>
          </w:tcPr>
          <w:p w:rsidR="004F1061" w:rsidRPr="001111B4" w:rsidRDefault="00515B5C" w:rsidP="001111B4">
            <w:pPr>
              <w:spacing w:after="200" w:line="276" w:lineRule="auto"/>
              <w:rPr>
                <w:b/>
              </w:rPr>
            </w:pPr>
            <w:r w:rsidRPr="001111B4">
              <w:rPr>
                <w:b/>
              </w:rPr>
              <w:t xml:space="preserve">      </w:t>
            </w:r>
            <w:r w:rsidR="004F1061" w:rsidRPr="001111B4">
              <w:rPr>
                <w:b/>
              </w:rPr>
              <w:t>21</w:t>
            </w:r>
          </w:p>
        </w:tc>
      </w:tr>
    </w:tbl>
    <w:p w:rsidR="00A57C5C" w:rsidRPr="00724879" w:rsidRDefault="00A57C5C">
      <w:pPr>
        <w:rPr>
          <w:sz w:val="30"/>
          <w:szCs w:val="30"/>
        </w:rPr>
      </w:pPr>
    </w:p>
    <w:p w:rsidR="005F2A45" w:rsidRPr="00724879" w:rsidRDefault="003245AB" w:rsidP="003245A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24879">
        <w:rPr>
          <w:sz w:val="30"/>
          <w:szCs w:val="30"/>
        </w:rPr>
        <w:t>В</w:t>
      </w:r>
      <w:r w:rsidR="005F2A45" w:rsidRPr="00724879">
        <w:rPr>
          <w:sz w:val="30"/>
          <w:szCs w:val="30"/>
        </w:rPr>
        <w:t xml:space="preserve"> </w:t>
      </w:r>
      <w:r w:rsidR="001111B4">
        <w:rPr>
          <w:sz w:val="30"/>
          <w:szCs w:val="30"/>
        </w:rPr>
        <w:t>таких банках как:</w:t>
      </w:r>
      <w:r w:rsidR="001111B4">
        <w:t xml:space="preserve"> </w:t>
      </w:r>
      <w:hyperlink r:id="rId13" w:history="1">
        <w:proofErr w:type="spellStart"/>
        <w:r w:rsidRPr="00724879">
          <w:rPr>
            <w:sz w:val="30"/>
            <w:szCs w:val="30"/>
            <w:bdr w:val="none" w:sz="0" w:space="0" w:color="auto" w:frame="1"/>
          </w:rPr>
          <w:t>Белагропромбанк</w:t>
        </w:r>
        <w:proofErr w:type="spellEnd"/>
        <w:r w:rsidRPr="00724879">
          <w:rPr>
            <w:sz w:val="30"/>
            <w:szCs w:val="30"/>
            <w:bdr w:val="none" w:sz="0" w:space="0" w:color="auto" w:frame="1"/>
          </w:rPr>
          <w:t>,</w:t>
        </w:r>
      </w:hyperlink>
      <w:hyperlink r:id="rId14" w:history="1">
        <w:r w:rsidR="00865950">
          <w:rPr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 w:rsidR="00865950">
          <w:rPr>
            <w:sz w:val="30"/>
            <w:szCs w:val="30"/>
            <w:bdr w:val="none" w:sz="0" w:space="0" w:color="auto" w:frame="1"/>
          </w:rPr>
          <w:t>Сбер</w:t>
        </w:r>
        <w:proofErr w:type="spellEnd"/>
        <w:r w:rsidR="00865950">
          <w:rPr>
            <w:sz w:val="30"/>
            <w:szCs w:val="30"/>
            <w:bdr w:val="none" w:sz="0" w:space="0" w:color="auto" w:frame="1"/>
          </w:rPr>
          <w:t xml:space="preserve"> Банк</w:t>
        </w:r>
        <w:r w:rsidRPr="00724879">
          <w:rPr>
            <w:sz w:val="30"/>
            <w:szCs w:val="30"/>
            <w:bdr w:val="none" w:sz="0" w:space="0" w:color="auto" w:frame="1"/>
          </w:rPr>
          <w:t xml:space="preserve">, </w:t>
        </w:r>
      </w:hyperlink>
      <w:hyperlink r:id="rId15" w:history="1">
        <w:proofErr w:type="spellStart"/>
        <w:r w:rsidRPr="00724879">
          <w:rPr>
            <w:sz w:val="30"/>
            <w:szCs w:val="30"/>
            <w:bdr w:val="none" w:sz="0" w:space="0" w:color="auto" w:frame="1"/>
          </w:rPr>
          <w:t>Приорбанк</w:t>
        </w:r>
        <w:proofErr w:type="spellEnd"/>
        <w:r w:rsidRPr="00724879">
          <w:rPr>
            <w:sz w:val="30"/>
            <w:szCs w:val="30"/>
            <w:bdr w:val="none" w:sz="0" w:space="0" w:color="auto" w:frame="1"/>
          </w:rPr>
          <w:t xml:space="preserve">, </w:t>
        </w:r>
      </w:hyperlink>
      <w:hyperlink r:id="rId16" w:history="1">
        <w:r w:rsidRPr="00724879">
          <w:rPr>
            <w:sz w:val="30"/>
            <w:szCs w:val="30"/>
            <w:bdr w:val="none" w:sz="0" w:space="0" w:color="auto" w:frame="1"/>
          </w:rPr>
          <w:t xml:space="preserve"> </w:t>
        </w:r>
      </w:hyperlink>
      <w:hyperlink r:id="rId17" w:history="1">
        <w:r w:rsidR="00865950">
          <w:rPr>
            <w:sz w:val="30"/>
            <w:szCs w:val="30"/>
            <w:bdr w:val="none" w:sz="0" w:space="0" w:color="auto" w:frame="1"/>
          </w:rPr>
          <w:t xml:space="preserve"> Беларусбанк</w:t>
        </w:r>
        <w:r w:rsidRPr="00724879">
          <w:rPr>
            <w:sz w:val="30"/>
            <w:szCs w:val="30"/>
            <w:bdr w:val="none" w:sz="0" w:space="0" w:color="auto" w:frame="1"/>
          </w:rPr>
          <w:t xml:space="preserve"> </w:t>
        </w:r>
      </w:hyperlink>
      <w:r w:rsidR="005F2A45" w:rsidRPr="00724879">
        <w:rPr>
          <w:sz w:val="30"/>
          <w:szCs w:val="30"/>
        </w:rPr>
        <w:t>финансирование расходов на выплату пенсий и пособий  производится в три периода:</w:t>
      </w:r>
    </w:p>
    <w:p w:rsidR="005F2A45" w:rsidRPr="00724879" w:rsidRDefault="005F2A45" w:rsidP="003245A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24879">
        <w:rPr>
          <w:sz w:val="30"/>
          <w:szCs w:val="30"/>
        </w:rPr>
        <w:t>2 период: финансирование - 15 число, выплата – 17 число</w:t>
      </w:r>
    </w:p>
    <w:p w:rsidR="005F2A45" w:rsidRPr="00724879" w:rsidRDefault="005F2A45" w:rsidP="003245AB">
      <w:pPr>
        <w:shd w:val="clear" w:color="auto" w:fill="FFFFFF"/>
        <w:jc w:val="both"/>
        <w:textAlignment w:val="baseline"/>
        <w:rPr>
          <w:sz w:val="30"/>
          <w:szCs w:val="30"/>
        </w:rPr>
      </w:pPr>
      <w:r w:rsidRPr="00724879">
        <w:rPr>
          <w:sz w:val="30"/>
          <w:szCs w:val="30"/>
        </w:rPr>
        <w:t>3 период: финансирование</w:t>
      </w:r>
      <w:r w:rsidR="00AD2666">
        <w:rPr>
          <w:sz w:val="30"/>
          <w:szCs w:val="30"/>
        </w:rPr>
        <w:t xml:space="preserve"> - 19 число, выплата – 21 число (для лиц, пенсии которым назначены после 01.01.2015).</w:t>
      </w:r>
    </w:p>
    <w:sectPr w:rsidR="005F2A45" w:rsidRPr="00724879" w:rsidSect="000723AA">
      <w:pgSz w:w="11906" w:h="16838"/>
      <w:pgMar w:top="993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D"/>
    <w:rsid w:val="001111B4"/>
    <w:rsid w:val="00144622"/>
    <w:rsid w:val="003245AB"/>
    <w:rsid w:val="0043358B"/>
    <w:rsid w:val="00440481"/>
    <w:rsid w:val="00495D6D"/>
    <w:rsid w:val="004F1061"/>
    <w:rsid w:val="00515B5C"/>
    <w:rsid w:val="005351F1"/>
    <w:rsid w:val="00551170"/>
    <w:rsid w:val="005F2A45"/>
    <w:rsid w:val="006A2A78"/>
    <w:rsid w:val="00724879"/>
    <w:rsid w:val="00865950"/>
    <w:rsid w:val="00A57C5C"/>
    <w:rsid w:val="00AD2666"/>
    <w:rsid w:val="00B17C86"/>
    <w:rsid w:val="00D52F01"/>
    <w:rsid w:val="00E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nov.grodno.by/wp-content/uploads/2017/01/%D0%93%D1%80%D0%B0%D1%84%D0%B8%D0%BA-%D0%B2%D1%8B%D0%BF%D0%BB%D0%B0%D1%82%D1%8B-%D0%91%D0%B5%D0%BB%D0%B3%D0%B0%D0%B7%D0%BF%D1%80%D0%BE%D0%BC%D0%B1%D0%B0%D0%BD%D0%BA-2021.pdf" TargetMode="External"/><Relationship Id="rId13" Type="http://schemas.openxmlformats.org/officeDocument/2006/relationships/hyperlink" Target="http://utnov.grodno.by/wp-content/uploads/2017/01/%D0%93%D1%80%D0%B0%D1%84%D0%B8%D0%BA-%D0%B2%D1%8B%D0%BF%D0%BB%D0%B0%D1%82%D1%8B-%D0%91%D0%B5%D0%BB%D0%B0%D0%B3%D1%80%D0%BE%D0%BF%D1%80%D0%BE%D0%BC%D0%B1%D0%B0%D0%BD%D0%BA-202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nov.grodno.by/wp-content/uploads/2017/01/%D0%93%D1%80%D0%B0%D1%84%D0%B8%D0%BA-%D0%B2%D1%8B%D0%BF%D0%BB%D0%B0%D1%82%D1%8B-%D0%9F%D1%80%D0%B8%D0%BE%D1%80%D0%B1%D0%B0%D0%BD%D0%BA-2021.pdf" TargetMode="External"/><Relationship Id="rId12" Type="http://schemas.openxmlformats.org/officeDocument/2006/relationships/hyperlink" Target="http://utnov.grodno.by/wp-content/uploads/2017/01/%D0%93%D1%80%D0%B0%D1%84%D0%B8%D0%BA-%D0%B2%D1%8B%D0%BF%D0%BB%D0%B0%D1%82%D1%8B-%D0%9C%D0%A2%D0%91%D0%B0%D0%BD%D0%BA-2021.pdf" TargetMode="External"/><Relationship Id="rId17" Type="http://schemas.openxmlformats.org/officeDocument/2006/relationships/hyperlink" Target="http://utnov.grodno.by/wp-content/uploads/2017/01/%D0%93%D1%80%D0%B0%D1%84%D0%B8%D0%BA-%D0%B2%D1%8B%D0%BF%D0%BB%D0%B0%D1%82%D1%8B-%D0%91%D0%B5%D0%BB%D0%B8%D0%BD%D0%B2%D0%B5%D1%81%D1%82-202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nov.grodno.by/wp-content/uploads/2017/01/%D0%93%D1%80%D0%B0%D1%84%D0%B8%D0%BA-%D0%B2%D1%8B%D0%BF%D0%BB%D0%B0%D1%82%D1%8B-%D0%91%D0%B5%D0%BB%D0%B3%D0%B0%D0%B7%D0%BF%D1%80%D0%BE%D0%BC%D0%B1%D0%B0%D0%BD%D0%BA-202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utnov.grodno.by/wp-content/uploads/2017/01/%D0%93%D1%80%D0%B0%D1%84%D0%B8%D0%BA-%D0%B2%D1%8B%D0%BF%D0%BB%D0%B0%D1%82%D1%8B-%D0%91%D0%9F%D0%A1-%D0%B1%D0%B0%D0%BD%D0%BA-2021.pdf" TargetMode="External"/><Relationship Id="rId11" Type="http://schemas.openxmlformats.org/officeDocument/2006/relationships/hyperlink" Target="http://utnov.grodno.by/wp-content/uploads/2017/01/%D0%93%D1%80%D0%B0%D1%84%D0%B8%D0%BA-%D0%B2%D1%8B%D0%BF%D0%BB%D0%B0%D1%82%D1%8B-%D0%91%D0%B5%D0%BB%D0%B8%D0%BD%D0%B2%D0%B5%D1%81%D1%82-2021.pdf" TargetMode="External"/><Relationship Id="rId5" Type="http://schemas.openxmlformats.org/officeDocument/2006/relationships/hyperlink" Target="http://utnov.grodno.by/wp-content/uploads/2017/01/%D0%93%D1%80%D0%B0%D1%84%D0%B8%D0%BA-%D0%B2%D1%8B%D0%BF%D0%BB%D0%B0%D1%82%D1%8B-%D0%91%D0%B5%D0%BB%D0%B0%D0%B3%D1%80%D0%BE%D0%BF%D1%80%D0%BE%D0%BC%D0%B1%D0%B0%D0%BD%D0%BA-2021.pdf" TargetMode="External"/><Relationship Id="rId15" Type="http://schemas.openxmlformats.org/officeDocument/2006/relationships/hyperlink" Target="http://utnov.grodno.by/wp-content/uploads/2017/01/%D0%93%D1%80%D0%B0%D1%84%D0%B8%D0%BA-%D0%B2%D1%8B%D0%BF%D0%BB%D0%B0%D1%82%D1%8B-%D0%9F%D1%80%D0%B8%D0%BE%D1%80%D0%B1%D0%B0%D0%BD%D0%BA-2021.pdf" TargetMode="External"/><Relationship Id="rId10" Type="http://schemas.openxmlformats.org/officeDocument/2006/relationships/hyperlink" Target="http://utnov.grodno.by/wp-content/uploads/2017/01/%D0%93%D1%80%D0%B0%D1%84%D0%B8%D0%BA-%D0%B2%D1%8B%D0%BF%D0%BB%D0%B0%D1%82%D1%8B-%D0%91%D0%B5%D0%BB%D0%B2%D0%BD%D0%B5%D1%88%D1%8D%D0%BA%D0%BE%D0%BD%D0%BE%D0%BC%D0%B1%D0%B0%D0%BD%D0%BA-202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nov.grodno.by/wp-content/uploads/2017/01/%D0%93%D1%80%D0%B0%D1%84%D0%B8%D0%BA-%D0%B2%D1%8B%D0%BF%D0%BB%D0%B0%D1%82%D1%8B-%D0%91%D0%B0%D0%BD%D0%BA-%D0%94%D0%B0%D0%B1%D1%80%D0%B0%D0%B1%D1%8B%D1%82-2021.pdf" TargetMode="External"/><Relationship Id="rId14" Type="http://schemas.openxmlformats.org/officeDocument/2006/relationships/hyperlink" Target="http://utnov.grodno.by/wp-content/uploads/2017/01/%D0%93%D1%80%D0%B0%D1%84%D0%B8%D0%BA-%D0%B2%D1%8B%D0%BF%D0%BB%D0%B0%D1%82%D1%8B-%D0%91%D0%9F%D0%A1-%D0%B1%D0%B0%D0%BD%D0%BA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микула</dc:creator>
  <cp:lastModifiedBy>Сапанович</cp:lastModifiedBy>
  <cp:revision>4</cp:revision>
  <cp:lastPrinted>2021-01-25T13:16:00Z</cp:lastPrinted>
  <dcterms:created xsi:type="dcterms:W3CDTF">2024-12-19T09:15:00Z</dcterms:created>
  <dcterms:modified xsi:type="dcterms:W3CDTF">2025-02-03T11:59:00Z</dcterms:modified>
</cp:coreProperties>
</file>