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772" w:rsidRDefault="00C92772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МИНСКОГО ОБЛАСТНОГО СОВЕТА ДЕПУТАТОВ</w:t>
      </w:r>
    </w:p>
    <w:p w:rsidR="00C92772" w:rsidRDefault="00C92772">
      <w:pPr>
        <w:pStyle w:val="newncpi"/>
        <w:ind w:firstLine="0"/>
        <w:jc w:val="center"/>
      </w:pPr>
      <w:r>
        <w:rPr>
          <w:rStyle w:val="datepr"/>
        </w:rPr>
        <w:t>22 февраля 2024 г.</w:t>
      </w:r>
      <w:r>
        <w:rPr>
          <w:rStyle w:val="number"/>
        </w:rPr>
        <w:t xml:space="preserve"> № 512</w:t>
      </w:r>
    </w:p>
    <w:p w:rsidR="00C92772" w:rsidRDefault="00C92772">
      <w:pPr>
        <w:pStyle w:val="titlencpi"/>
      </w:pPr>
      <w:r>
        <w:t>О порядке проведения конкурсного отбора мероприятий в сфере цифрового развития</w:t>
      </w:r>
    </w:p>
    <w:p w:rsidR="00C92772" w:rsidRDefault="00C92772">
      <w:pPr>
        <w:pStyle w:val="preamble"/>
      </w:pPr>
      <w:r>
        <w:t>На основании пункта 12 Положения о порядке реализации и финансирования мероприятий в сфере цифрового развития, осуществления государственных закупок в данной сфере, утвержденного Указом Президента Республики Беларусь от 29 ноября 2023 г. № 381, Минский областной Совет депутатов РЕШИЛ:</w:t>
      </w:r>
    </w:p>
    <w:p w:rsidR="00C92772" w:rsidRDefault="00C92772">
      <w:pPr>
        <w:pStyle w:val="point"/>
      </w:pPr>
      <w:r>
        <w:t>1. Утвердить Инструкцию о порядке проведения конкурсного отбора мероприятий в сфере цифрового развития, финансируемых из средств инновационного фонда Минского областного исполнительного комитета (прилагается).</w:t>
      </w:r>
    </w:p>
    <w:p w:rsidR="00C92772" w:rsidRDefault="00C92772">
      <w:pPr>
        <w:pStyle w:val="point"/>
      </w:pPr>
      <w:r>
        <w:t>2. Настоящее решение вступает в силу с 3 марта 2024 г.</w:t>
      </w:r>
    </w:p>
    <w:p w:rsidR="00C92772" w:rsidRDefault="00C9277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C9277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92772" w:rsidRDefault="00C92772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92772" w:rsidRDefault="00C92772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Н.В.Якубицкая</w:t>
            </w:r>
            <w:proofErr w:type="spellEnd"/>
          </w:p>
        </w:tc>
      </w:tr>
    </w:tbl>
    <w:p w:rsidR="00C92772" w:rsidRDefault="00C92772">
      <w:pPr>
        <w:pStyle w:val="newncpi0"/>
      </w:pPr>
      <w:r>
        <w:t> </w:t>
      </w:r>
    </w:p>
    <w:p w:rsidR="00C92772" w:rsidRDefault="00C92772">
      <w:pPr>
        <w:pStyle w:val="agree"/>
      </w:pPr>
      <w:r>
        <w:t>СОГЛАСОВАНО</w:t>
      </w:r>
    </w:p>
    <w:p w:rsidR="00C92772" w:rsidRDefault="00C92772">
      <w:pPr>
        <w:pStyle w:val="agree"/>
      </w:pPr>
      <w:r>
        <w:t>Министерство связи и информатизации</w:t>
      </w:r>
      <w:r>
        <w:br/>
        <w:t>Республики Беларусь</w:t>
      </w:r>
    </w:p>
    <w:p w:rsidR="00C92772" w:rsidRDefault="00C9277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7"/>
        <w:gridCol w:w="2342"/>
      </w:tblGrid>
      <w:tr w:rsidR="00C92772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2772" w:rsidRDefault="00C92772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2772" w:rsidRDefault="00C92772">
            <w:pPr>
              <w:pStyle w:val="capu1"/>
            </w:pPr>
            <w:r>
              <w:t>УТВЕРЖДЕНО</w:t>
            </w:r>
          </w:p>
          <w:p w:rsidR="00C92772" w:rsidRDefault="00C92772">
            <w:pPr>
              <w:pStyle w:val="cap1"/>
            </w:pPr>
            <w:r>
              <w:t>Решение</w:t>
            </w:r>
            <w:r>
              <w:br/>
              <w:t>Минского областного</w:t>
            </w:r>
            <w:r>
              <w:br/>
              <w:t>Совета депутатов</w:t>
            </w:r>
            <w:r>
              <w:br/>
              <w:t>22.02.2024 № 512</w:t>
            </w:r>
          </w:p>
        </w:tc>
      </w:tr>
    </w:tbl>
    <w:p w:rsidR="00C92772" w:rsidRDefault="00C92772">
      <w:pPr>
        <w:pStyle w:val="titleu"/>
      </w:pPr>
      <w:r>
        <w:t>ИНСТРУКЦИЯ</w:t>
      </w:r>
      <w:r>
        <w:br/>
        <w:t>о порядке проведения конкурсного отбора мероприятий в сфере цифрового развития, финансируемых из средств инновационного фонда Минского областного исполнительного комитета</w:t>
      </w:r>
    </w:p>
    <w:p w:rsidR="00C92772" w:rsidRDefault="00C92772">
      <w:pPr>
        <w:pStyle w:val="point"/>
      </w:pPr>
      <w:r>
        <w:t>1. Настоящая Инструкция определяет порядок проведения конкурсного отбора мероприятий в сфере цифрового развития, финансируемых из средств инновационного фонда Минского областного исполнительного комитета (далее, если не указано иное, – конкурсный отбор).</w:t>
      </w:r>
    </w:p>
    <w:p w:rsidR="00C92772" w:rsidRDefault="00C92772">
      <w:pPr>
        <w:pStyle w:val="point"/>
      </w:pPr>
      <w:r>
        <w:t>2. Организатором конкурсного отбора является Минский областной исполнительный комитет (далее – облисполком) либо уполномоченное структурное подразделение облисполкома, которые размещают в глобальной компьютерной сети Интернет на официальном сайте облисполкома информацию о порядке и сроках проведения конкурсного отбора.</w:t>
      </w:r>
    </w:p>
    <w:p w:rsidR="00C92772" w:rsidRDefault="00C92772">
      <w:pPr>
        <w:pStyle w:val="point"/>
      </w:pPr>
      <w:r>
        <w:t>3. </w:t>
      </w:r>
      <w:proofErr w:type="gramStart"/>
      <w:r>
        <w:t>Участие в конкурсном отборе могут принимать структурные подразделения облисполкома, районные и </w:t>
      </w:r>
      <w:proofErr w:type="spellStart"/>
      <w:r>
        <w:t>Жодинский</w:t>
      </w:r>
      <w:proofErr w:type="spellEnd"/>
      <w:r>
        <w:t xml:space="preserve"> городской исполнительные комитеты Минской области, государственные организации, имущество которых находится в Минской области или ее административно-территориальных единиц, хозяйственные общества, в отношении которых Минская область либо ее административно-территориальная единица, обладая долями (акциями) в уставных фондах, могут определять решения, принимаемые этими хозяйственными обществами (далее – участник).</w:t>
      </w:r>
      <w:proofErr w:type="gramEnd"/>
    </w:p>
    <w:p w:rsidR="00C92772" w:rsidRDefault="00C92772">
      <w:pPr>
        <w:pStyle w:val="newncpi"/>
      </w:pPr>
      <w:r>
        <w:t>Государственные организации, не указанные в части первой настоящего пункта, могут принимать участие в конкурсном отборе в случае местонахождения государственной организации, ее филиала и (или) структурного подразделения на территории Минской области.</w:t>
      </w:r>
    </w:p>
    <w:p w:rsidR="00C92772" w:rsidRDefault="00C92772">
      <w:pPr>
        <w:pStyle w:val="point"/>
      </w:pPr>
      <w:r>
        <w:lastRenderedPageBreak/>
        <w:t>4. Для участия в конкурсном отборе участник представляет в облисполком технический паспорт мероприятия в сфере цифрового развития (далее – технический паспорт) по форме, установленной приложением к постановлению Министерства связи и информатизации Республики Беларусь от 6 октября 2022 г. № 15 «О форме технического паспорта мероприятия в сфере цифрового развития». Участники могут представлять дополнительные документы и материалы, связанные с выполнением мероприятия, указанного в техническом паспорте.</w:t>
      </w:r>
    </w:p>
    <w:p w:rsidR="00C92772" w:rsidRDefault="00C92772">
      <w:pPr>
        <w:pStyle w:val="point"/>
      </w:pPr>
      <w:r>
        <w:t>5. Технический паспорт предоставляется также на адрес электронной почты it@ivcmr.by в электронном виде.</w:t>
      </w:r>
    </w:p>
    <w:p w:rsidR="00C92772" w:rsidRDefault="00C92772">
      <w:pPr>
        <w:pStyle w:val="point"/>
      </w:pPr>
      <w:r>
        <w:t>6. Технический паспорт, не соответствующий требованиям пункта 4 настоящей Инструкции, к рассмотрению не принимается и возвращается участнику не позднее 5 рабочих дней со дня окончания приема технических паспортов.</w:t>
      </w:r>
    </w:p>
    <w:p w:rsidR="00C92772" w:rsidRDefault="00C92772">
      <w:pPr>
        <w:pStyle w:val="point"/>
      </w:pPr>
      <w:r>
        <w:t>7. Организатор:</w:t>
      </w:r>
    </w:p>
    <w:p w:rsidR="00C92772" w:rsidRDefault="00C92772">
      <w:pPr>
        <w:pStyle w:val="underpoint"/>
      </w:pPr>
      <w:r>
        <w:t>7.1. определяет дату, время начала и окончания приема технических паспортов, место, дату и время проведения конкурсного отбора;</w:t>
      </w:r>
    </w:p>
    <w:p w:rsidR="00C92772" w:rsidRDefault="00C92772">
      <w:pPr>
        <w:pStyle w:val="underpoint"/>
      </w:pPr>
      <w:r>
        <w:t>7.2. принимает технические паспорта;</w:t>
      </w:r>
    </w:p>
    <w:p w:rsidR="00C92772" w:rsidRDefault="00C92772">
      <w:pPr>
        <w:pStyle w:val="underpoint"/>
      </w:pPr>
      <w:r>
        <w:t>7.3. предварительно рассматривает представленные технические паспорта на соответствие требованиям пункта 4 настоящей Инструкции во время всего срока приема;</w:t>
      </w:r>
    </w:p>
    <w:p w:rsidR="00C92772" w:rsidRDefault="00C92772">
      <w:pPr>
        <w:pStyle w:val="underpoint"/>
      </w:pPr>
      <w:r>
        <w:t>7.4. после окончания приема технических паспортов, не позднее 3 рабочих дней до даты проведения конкурсного отбора направляет повестку заседания и технические паспорта на рассмотрение членам комиссии по проведению конкурсного отбора мероприятий в сфере цифрового развития, финансируемых из средств инновационного фонда облисполкома (далее – конкурсная комиссия).</w:t>
      </w:r>
    </w:p>
    <w:p w:rsidR="00C92772" w:rsidRDefault="00C92772">
      <w:pPr>
        <w:pStyle w:val="point"/>
      </w:pPr>
      <w:r>
        <w:t>8. Конкурсный отбор проводится конкурсной комиссией, персональный состав которой утверждается распоряжением председателя облисполкома.</w:t>
      </w:r>
    </w:p>
    <w:p w:rsidR="00C92772" w:rsidRDefault="00C92772">
      <w:pPr>
        <w:pStyle w:val="newncpi"/>
      </w:pPr>
      <w:r>
        <w:t>В состав конкурсной комиссии могут включаться руководители структурных подразделений облисполкома с привлечением при необходимости иных заинтересованных лиц.</w:t>
      </w:r>
    </w:p>
    <w:p w:rsidR="00C92772" w:rsidRDefault="00C92772">
      <w:pPr>
        <w:pStyle w:val="point"/>
      </w:pPr>
      <w:r>
        <w:t>9. Заседание конкурсной комиссии считается правомочным при участии в нем не менее двух третей из состава его членов.</w:t>
      </w:r>
    </w:p>
    <w:p w:rsidR="00C92772" w:rsidRDefault="00C92772">
      <w:pPr>
        <w:pStyle w:val="newncpi"/>
      </w:pPr>
      <w:r>
        <w:t>Решение конкурсной комиссии принимается путем открытого голосования. При равенстве голосов принимается решение, за которое проголосовал председательствующий на заседании.</w:t>
      </w:r>
    </w:p>
    <w:p w:rsidR="00C92772" w:rsidRDefault="00C92772">
      <w:pPr>
        <w:pStyle w:val="newncpi"/>
      </w:pPr>
      <w:r>
        <w:t>Решение конкурсной комиссии оформляется протоколом, который подписывается членами конкурсной комиссии.</w:t>
      </w:r>
    </w:p>
    <w:p w:rsidR="00C92772" w:rsidRDefault="00C92772">
      <w:pPr>
        <w:pStyle w:val="newncpi"/>
      </w:pPr>
      <w:r>
        <w:t>Результатом конкурсного отбора является решение конкурсной комиссии о целесообразности (нецелесообразности) направления технического паспорта в Министерство связи и информатизации.</w:t>
      </w:r>
    </w:p>
    <w:p w:rsidR="00C92772" w:rsidRDefault="00C92772">
      <w:pPr>
        <w:pStyle w:val="point"/>
      </w:pPr>
      <w:r>
        <w:t>10. Уполномоченное структурное подразделение облисполкома в течение 5 рабочих дней со дня проведения конкурсного отбора информирует участников о его результатах путем направления им соответствующих выписок из протокола.</w:t>
      </w:r>
    </w:p>
    <w:p w:rsidR="00C92772" w:rsidRDefault="00C92772">
      <w:pPr>
        <w:pStyle w:val="point"/>
      </w:pPr>
      <w:r>
        <w:t>11. По результатам решения конкурсной комиссии технический паспорт направляется облисполкомом в Министерство связи и информатизации для рассмотрения в порядке, предусмотренном Положением о порядке реализации и финансирования мероприятий в сфере цифрового развития, осуществления государственных закупок в данной сфере.</w:t>
      </w:r>
    </w:p>
    <w:p w:rsidR="00C92772" w:rsidRDefault="00C92772">
      <w:pPr>
        <w:pStyle w:val="newncpi"/>
      </w:pPr>
      <w:r>
        <w:t> </w:t>
      </w:r>
    </w:p>
    <w:p w:rsidR="00B25579" w:rsidRDefault="00B25579"/>
    <w:sectPr w:rsidR="00B25579" w:rsidSect="00C927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76D" w:rsidRDefault="0073376D" w:rsidP="00C92772">
      <w:r>
        <w:separator/>
      </w:r>
    </w:p>
  </w:endnote>
  <w:endnote w:type="continuationSeparator" w:id="0">
    <w:p w:rsidR="0073376D" w:rsidRDefault="0073376D" w:rsidP="00C92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772" w:rsidRDefault="00C9277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772" w:rsidRDefault="00C9277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Ind w:w="57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422"/>
      <w:gridCol w:w="7094"/>
    </w:tblGrid>
    <w:tr w:rsidR="00C92772" w:rsidTr="00C92772">
      <w:tc>
        <w:tcPr>
          <w:tcW w:w="1800" w:type="dxa"/>
          <w:shd w:val="clear" w:color="auto" w:fill="auto"/>
          <w:vAlign w:val="center"/>
        </w:tcPr>
        <w:p w:rsidR="00C92772" w:rsidRDefault="00C92772">
          <w:pPr>
            <w:pStyle w:val="a5"/>
            <w:ind w:left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6" w:type="dxa"/>
          <w:shd w:val="clear" w:color="auto" w:fill="auto"/>
          <w:vAlign w:val="center"/>
        </w:tcPr>
        <w:p w:rsidR="00C92772" w:rsidRDefault="00C92772">
          <w:pPr>
            <w:pStyle w:val="a5"/>
            <w:ind w:left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C92772" w:rsidRDefault="00C92772">
          <w:pPr>
            <w:pStyle w:val="a5"/>
            <w:ind w:left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11.07.2024</w:t>
          </w:r>
        </w:p>
        <w:p w:rsidR="00C92772" w:rsidRPr="00C92772" w:rsidRDefault="00C92772">
          <w:pPr>
            <w:pStyle w:val="a5"/>
            <w:ind w:left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C92772" w:rsidRDefault="00C9277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76D" w:rsidRDefault="0073376D" w:rsidP="00C92772">
      <w:r>
        <w:separator/>
      </w:r>
    </w:p>
  </w:footnote>
  <w:footnote w:type="continuationSeparator" w:id="0">
    <w:p w:rsidR="0073376D" w:rsidRDefault="0073376D" w:rsidP="00C927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772" w:rsidRDefault="00C92772" w:rsidP="0001626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2772" w:rsidRDefault="00C9277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772" w:rsidRPr="00C92772" w:rsidRDefault="00C92772" w:rsidP="0001626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92772">
      <w:rPr>
        <w:rStyle w:val="a7"/>
        <w:rFonts w:ascii="Times New Roman" w:hAnsi="Times New Roman" w:cs="Times New Roman"/>
        <w:sz w:val="24"/>
      </w:rPr>
      <w:fldChar w:fldCharType="begin"/>
    </w:r>
    <w:r w:rsidRPr="00C92772">
      <w:rPr>
        <w:rStyle w:val="a7"/>
        <w:rFonts w:ascii="Times New Roman" w:hAnsi="Times New Roman" w:cs="Times New Roman"/>
        <w:sz w:val="24"/>
      </w:rPr>
      <w:instrText xml:space="preserve">PAGE  </w:instrText>
    </w:r>
    <w:r w:rsidRPr="00C92772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C92772">
      <w:rPr>
        <w:rStyle w:val="a7"/>
        <w:rFonts w:ascii="Times New Roman" w:hAnsi="Times New Roman" w:cs="Times New Roman"/>
        <w:sz w:val="24"/>
      </w:rPr>
      <w:fldChar w:fldCharType="end"/>
    </w:r>
  </w:p>
  <w:p w:rsidR="00C92772" w:rsidRPr="00C92772" w:rsidRDefault="00C92772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772" w:rsidRDefault="00C9277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772"/>
    <w:rsid w:val="000D67F6"/>
    <w:rsid w:val="0073376D"/>
    <w:rsid w:val="00B25579"/>
    <w:rsid w:val="00C92772"/>
    <w:rsid w:val="00C9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13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C92772"/>
    <w:pPr>
      <w:spacing w:before="240" w:after="240"/>
      <w:ind w:left="0" w:right="2268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C92772"/>
    <w:pPr>
      <w:spacing w:after="28"/>
      <w:ind w:left="0" w:right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C92772"/>
    <w:pPr>
      <w:spacing w:before="240" w:after="240"/>
      <w:ind w:left="0" w:right="0"/>
      <w:jc w:val="left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C92772"/>
    <w:pPr>
      <w:ind w:left="0" w:right="0"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92772"/>
    <w:pPr>
      <w:ind w:left="0" w:right="0"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92772"/>
    <w:pPr>
      <w:ind w:left="0" w:right="0"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C92772"/>
    <w:pPr>
      <w:ind w:left="0" w:right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C92772"/>
    <w:pPr>
      <w:spacing w:after="120"/>
      <w:ind w:left="0" w:right="0"/>
      <w:jc w:val="left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92772"/>
    <w:pPr>
      <w:ind w:left="0" w:right="0"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92772"/>
    <w:pPr>
      <w:ind w:left="0" w:right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9277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9277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9277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9277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9277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92772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C927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92772"/>
  </w:style>
  <w:style w:type="paragraph" w:styleId="a5">
    <w:name w:val="footer"/>
    <w:basedOn w:val="a"/>
    <w:link w:val="a6"/>
    <w:uiPriority w:val="99"/>
    <w:semiHidden/>
    <w:unhideWhenUsed/>
    <w:rsid w:val="00C927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92772"/>
  </w:style>
  <w:style w:type="character" w:styleId="a7">
    <w:name w:val="page number"/>
    <w:basedOn w:val="a0"/>
    <w:uiPriority w:val="99"/>
    <w:semiHidden/>
    <w:unhideWhenUsed/>
    <w:rsid w:val="00C92772"/>
  </w:style>
  <w:style w:type="table" w:styleId="a8">
    <w:name w:val="Table Grid"/>
    <w:basedOn w:val="a1"/>
    <w:uiPriority w:val="59"/>
    <w:rsid w:val="00C92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4712</Characters>
  <Application>Microsoft Office Word</Application>
  <DocSecurity>0</DocSecurity>
  <Lines>100</Lines>
  <Paragraphs>37</Paragraphs>
  <ScaleCrop>false</ScaleCrop>
  <Company/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KlyshejkoKI</dc:creator>
  <cp:lastModifiedBy>KlyshejkoKI</cp:lastModifiedBy>
  <cp:revision>1</cp:revision>
  <dcterms:created xsi:type="dcterms:W3CDTF">2024-07-11T12:40:00Z</dcterms:created>
  <dcterms:modified xsi:type="dcterms:W3CDTF">2024-07-11T12:41:00Z</dcterms:modified>
</cp:coreProperties>
</file>