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4D" w:rsidRDefault="00E83B4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МИНСКОГО ОБЛАСТНОГО СОВЕТА ДЕПУТАТОВ</w:t>
      </w:r>
    </w:p>
    <w:p w:rsidR="00E83B4D" w:rsidRDefault="00E83B4D">
      <w:pPr>
        <w:pStyle w:val="newncpi"/>
        <w:ind w:firstLine="0"/>
        <w:jc w:val="center"/>
      </w:pPr>
      <w:r>
        <w:rPr>
          <w:rStyle w:val="datepr"/>
        </w:rPr>
        <w:t>13 сентября 2024 г.</w:t>
      </w:r>
      <w:r>
        <w:rPr>
          <w:rStyle w:val="number"/>
        </w:rPr>
        <w:t xml:space="preserve"> № 34</w:t>
      </w:r>
    </w:p>
    <w:p w:rsidR="00E83B4D" w:rsidRDefault="00E83B4D">
      <w:pPr>
        <w:pStyle w:val="titlencpi"/>
      </w:pPr>
      <w:r>
        <w:t>Об утверждении Инструкции</w:t>
      </w:r>
    </w:p>
    <w:p w:rsidR="00E83B4D" w:rsidRDefault="00E83B4D">
      <w:pPr>
        <w:pStyle w:val="preamble"/>
      </w:pPr>
      <w:r>
        <w:t>На основании части первой подпункта 2.2 пункта 2 постановления Совета Министров Республики Беларусь от 15 марта 2024 г. № 184 «О реализации Указа Президента Республики Беларусь от 29 ноября 2023 г. № 381» Минский областной Совет депутатов РЕШИЛ:</w:t>
      </w:r>
    </w:p>
    <w:p w:rsidR="00E83B4D" w:rsidRDefault="00E83B4D">
      <w:pPr>
        <w:pStyle w:val="point"/>
      </w:pPr>
      <w:r>
        <w:t xml:space="preserve">1. Утвердить Инструкцию о порядке проведения открытого конкурсного отбора мероприятий по масштабированию результатов </w:t>
      </w:r>
      <w:proofErr w:type="spellStart"/>
      <w:r>
        <w:t>пилотных</w:t>
      </w:r>
      <w:proofErr w:type="spellEnd"/>
      <w:r>
        <w:t xml:space="preserve"> проектов в сфере цифрового развития для финансирования из средств инновационного фонда Минского областного исполнительного комитета (прилагается).</w:t>
      </w:r>
    </w:p>
    <w:p w:rsidR="00E83B4D" w:rsidRDefault="00E83B4D">
      <w:pPr>
        <w:pStyle w:val="point"/>
      </w:pPr>
      <w:r>
        <w:t>2. Обнародовать (опубликовать) настоящее решение в газете «</w:t>
      </w:r>
      <w:proofErr w:type="spellStart"/>
      <w:r>
        <w:t>Мінская</w:t>
      </w:r>
      <w:proofErr w:type="spellEnd"/>
      <w:r>
        <w:t xml:space="preserve"> </w:t>
      </w:r>
      <w:proofErr w:type="spellStart"/>
      <w:r>
        <w:t>праўда</w:t>
      </w:r>
      <w:proofErr w:type="spellEnd"/>
      <w:r>
        <w:t>».</w:t>
      </w:r>
    </w:p>
    <w:p w:rsidR="00E83B4D" w:rsidRDefault="00E83B4D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E83B4D" w:rsidRDefault="00E83B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E83B4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3B4D" w:rsidRDefault="00E83B4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3B4D" w:rsidRDefault="00E83B4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Н.В.Якубицкая</w:t>
            </w:r>
            <w:proofErr w:type="spellEnd"/>
          </w:p>
        </w:tc>
      </w:tr>
    </w:tbl>
    <w:p w:rsidR="00E83B4D" w:rsidRDefault="00E83B4D">
      <w:pPr>
        <w:pStyle w:val="newncpi0"/>
      </w:pPr>
      <w:r>
        <w:t> </w:t>
      </w:r>
    </w:p>
    <w:p w:rsidR="00E83B4D" w:rsidRDefault="00E83B4D">
      <w:pPr>
        <w:pStyle w:val="agree"/>
        <w:spacing w:after="0"/>
      </w:pPr>
      <w:r>
        <w:t>СОГЛАСОВАНО</w:t>
      </w:r>
    </w:p>
    <w:p w:rsidR="00E83B4D" w:rsidRDefault="00E83B4D">
      <w:pPr>
        <w:pStyle w:val="agree"/>
        <w:spacing w:after="160"/>
      </w:pPr>
      <w:r>
        <w:t>Министерство связи и информатизации</w:t>
      </w:r>
      <w:r>
        <w:br/>
        <w:t>Республики Беларусь</w:t>
      </w:r>
    </w:p>
    <w:p w:rsidR="00E83B4D" w:rsidRDefault="00E83B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E83B4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capu1"/>
            </w:pPr>
            <w:r>
              <w:t>УТВЕРЖДЕНО</w:t>
            </w:r>
          </w:p>
          <w:p w:rsidR="00E83B4D" w:rsidRDefault="00E83B4D">
            <w:pPr>
              <w:pStyle w:val="cap1"/>
            </w:pPr>
            <w:r>
              <w:t>Решение</w:t>
            </w:r>
            <w:r>
              <w:br/>
              <w:t>Минского областного</w:t>
            </w:r>
            <w:r>
              <w:br/>
              <w:t>Совета депутатов</w:t>
            </w:r>
            <w:r>
              <w:br/>
              <w:t>13.09.2024 № 34</w:t>
            </w:r>
          </w:p>
        </w:tc>
      </w:tr>
    </w:tbl>
    <w:p w:rsidR="00E83B4D" w:rsidRDefault="00E83B4D">
      <w:pPr>
        <w:pStyle w:val="titleu"/>
      </w:pPr>
      <w:r>
        <w:t>ИНСТРУКЦИЯ</w:t>
      </w:r>
      <w:r>
        <w:br/>
        <w:t xml:space="preserve">о порядке проведения открытого конкурсного отбора мероприятий по масштабированию результатов </w:t>
      </w:r>
      <w:proofErr w:type="spellStart"/>
      <w:r>
        <w:t>пилотных</w:t>
      </w:r>
      <w:proofErr w:type="spellEnd"/>
      <w:r>
        <w:t xml:space="preserve"> проектов в сфере цифрового развития для финансирования из средств инновационного фонда Минского областного исполнительного комитета</w:t>
      </w:r>
    </w:p>
    <w:p w:rsidR="00E83B4D" w:rsidRDefault="00E83B4D">
      <w:pPr>
        <w:pStyle w:val="point"/>
      </w:pPr>
      <w:r>
        <w:t xml:space="preserve">1. Настоящая Инструкция определяет порядок проведения открытого конкурсного отбора мероприятий по масштабированию результатов </w:t>
      </w:r>
      <w:proofErr w:type="spellStart"/>
      <w:r>
        <w:t>пилотных</w:t>
      </w:r>
      <w:proofErr w:type="spellEnd"/>
      <w:r>
        <w:t xml:space="preserve"> проектов в сфере цифрового развития (далее – </w:t>
      </w:r>
      <w:proofErr w:type="spellStart"/>
      <w:r>
        <w:t>пилотный</w:t>
      </w:r>
      <w:proofErr w:type="spellEnd"/>
      <w:r>
        <w:t xml:space="preserve"> проект) для финансирования из средств инновационного фонда Минского областного исполнительного комитета (далее – конкурсный отбор).</w:t>
      </w:r>
    </w:p>
    <w:p w:rsidR="00E83B4D" w:rsidRDefault="00E83B4D">
      <w:pPr>
        <w:pStyle w:val="point"/>
      </w:pPr>
      <w:r>
        <w:t>2. Организатором конкурсного отбора является Минский областной исполнительный комитет (далее – облисполком). Конкурсный отбор проводится конкурсной комиссией, персональный состав которой утверждается распоряжением председателя облисполкома.</w:t>
      </w:r>
    </w:p>
    <w:p w:rsidR="00E83B4D" w:rsidRDefault="00E83B4D">
      <w:pPr>
        <w:pStyle w:val="newncpi"/>
      </w:pPr>
      <w:r>
        <w:t>Информация о проведении конкурного отбора с учетом пункта 4 статьи 927 Гражданского кодекса Республики Беларусь размещается конкурсной комиссией на официальном сайте облисполкома в глобальной компьютерной сети Интернет.</w:t>
      </w:r>
    </w:p>
    <w:p w:rsidR="00E83B4D" w:rsidRDefault="00E83B4D">
      <w:pPr>
        <w:pStyle w:val="point"/>
      </w:pPr>
      <w:r>
        <w:t>3. </w:t>
      </w:r>
      <w:proofErr w:type="gramStart"/>
      <w:r>
        <w:t>Участие в конкурсном отборе могут принимать структурные подразделения облисполкома, районные и </w:t>
      </w:r>
      <w:proofErr w:type="spellStart"/>
      <w:r>
        <w:t>Жодинский</w:t>
      </w:r>
      <w:proofErr w:type="spellEnd"/>
      <w:r>
        <w:t xml:space="preserve"> городской исполнительный комитеты, государственные организации, имущество которых находится в собственности Минской области или ее административно-территориальных единиц, хозяйственные общества, в отношении которых Минская область либо ее административно-территориальная единица, обладая долями (акциями) в уставных фондах, могут определять решения, принимаемые этими хозяйственными обществами (далее – участник).</w:t>
      </w:r>
      <w:proofErr w:type="gramEnd"/>
    </w:p>
    <w:p w:rsidR="00E83B4D" w:rsidRDefault="00E83B4D">
      <w:pPr>
        <w:pStyle w:val="newncpi"/>
      </w:pPr>
      <w:r>
        <w:lastRenderedPageBreak/>
        <w:t>Государственные организации, не указанные в части первой настоящего пункта, могут принимать участие в конкурсном отборе в случае местонахождения государственной организации, ее филиала и (или) структурного подразделения на территории Минской области.</w:t>
      </w:r>
    </w:p>
    <w:p w:rsidR="00E83B4D" w:rsidRDefault="00E83B4D">
      <w:pPr>
        <w:pStyle w:val="point"/>
      </w:pPr>
      <w:r>
        <w:t xml:space="preserve">4. Для участия в конкурсном отборе участник представляет в облисполком заявку по форме согласно приложению при наличии заявленных </w:t>
      </w:r>
      <w:proofErr w:type="spellStart"/>
      <w:r>
        <w:t>пилотных</w:t>
      </w:r>
      <w:proofErr w:type="spellEnd"/>
      <w:r>
        <w:t xml:space="preserve"> проектов в перечне масштабируемых результатов </w:t>
      </w:r>
      <w:proofErr w:type="spellStart"/>
      <w:r>
        <w:t>пилотных</w:t>
      </w:r>
      <w:proofErr w:type="spellEnd"/>
      <w:r>
        <w:t xml:space="preserve"> проектов, утверждаемом Советом Министров Республики Беларусь в соответствии с частью первой подпункта 2.2 пункта 2 постановления Совета Министров Республики Беларусь от 15 марта 2024 г. № 184.</w:t>
      </w:r>
    </w:p>
    <w:p w:rsidR="00E83B4D" w:rsidRDefault="00E83B4D">
      <w:pPr>
        <w:pStyle w:val="newncpi"/>
      </w:pPr>
      <w:r>
        <w:t xml:space="preserve">Участники могут представить дополнительные документы и материалы, связанные с выполнением </w:t>
      </w:r>
      <w:proofErr w:type="spellStart"/>
      <w:r>
        <w:t>пилотного</w:t>
      </w:r>
      <w:proofErr w:type="spellEnd"/>
      <w:r>
        <w:t xml:space="preserve"> проекта.</w:t>
      </w:r>
    </w:p>
    <w:p w:rsidR="00E83B4D" w:rsidRDefault="00E83B4D">
      <w:pPr>
        <w:pStyle w:val="point"/>
      </w:pPr>
      <w:r>
        <w:t xml:space="preserve">5. Заявка, дополнительные документы и материалы (при наличии) представляются в облисполком на бумажном носителе с направлением копии в электронном виде на адрес электронной почты: </w:t>
      </w:r>
      <w:proofErr w:type="spellStart"/>
      <w:r>
        <w:t>it@ivcmr.by</w:t>
      </w:r>
      <w:proofErr w:type="spellEnd"/>
      <w:r>
        <w:t>.</w:t>
      </w:r>
    </w:p>
    <w:p w:rsidR="00E83B4D" w:rsidRDefault="00E83B4D">
      <w:pPr>
        <w:pStyle w:val="point"/>
      </w:pPr>
      <w:r>
        <w:t>6. Заявка, не соответствующая требованиям части первой пункта 4 настоящей Инструкции, к рассмотрению не принимается и возвращается участнику в срок не позднее 5 рабочих дней со дня окончания приема заявок.</w:t>
      </w:r>
    </w:p>
    <w:p w:rsidR="00E83B4D" w:rsidRDefault="00E83B4D">
      <w:pPr>
        <w:pStyle w:val="point"/>
      </w:pPr>
      <w:r>
        <w:t>7. Организатор конкурсного отбора:</w:t>
      </w:r>
    </w:p>
    <w:p w:rsidR="00E83B4D" w:rsidRDefault="00E83B4D">
      <w:pPr>
        <w:pStyle w:val="newncpi"/>
      </w:pPr>
      <w:r>
        <w:t>определяет дату, время начала и окончания приема заявок, дату и место проведения конкурсного отбора;</w:t>
      </w:r>
    </w:p>
    <w:p w:rsidR="00E83B4D" w:rsidRDefault="00E83B4D">
      <w:pPr>
        <w:pStyle w:val="newncpi"/>
      </w:pPr>
      <w:r>
        <w:t xml:space="preserve">принимает заявки, дополнительные документы и материалы (при наличии), связанные с выполнением </w:t>
      </w:r>
      <w:proofErr w:type="spellStart"/>
      <w:r>
        <w:t>пилотного</w:t>
      </w:r>
      <w:proofErr w:type="spellEnd"/>
      <w:r>
        <w:t xml:space="preserve"> проекта;</w:t>
      </w:r>
    </w:p>
    <w:p w:rsidR="00E83B4D" w:rsidRDefault="00E83B4D">
      <w:pPr>
        <w:pStyle w:val="newncpi"/>
      </w:pPr>
      <w:r>
        <w:t>предварительно рассматривает представленные заявки на соответствие требованиям части первой пункта 4 настоящей Инструкции;</w:t>
      </w:r>
    </w:p>
    <w:p w:rsidR="00E83B4D" w:rsidRDefault="00E83B4D">
      <w:pPr>
        <w:pStyle w:val="newncpi"/>
      </w:pPr>
      <w:r>
        <w:t>после окончания приема заявок в срок не позднее 3 рабочих дней до даты проведения конкурсного отбора направляет повестку заседания и заявки на рассмотрение членам конкурсной комиссии.</w:t>
      </w:r>
    </w:p>
    <w:p w:rsidR="00E83B4D" w:rsidRDefault="00E83B4D">
      <w:pPr>
        <w:pStyle w:val="point"/>
      </w:pPr>
      <w:r>
        <w:t xml:space="preserve">8. Мероприятия по масштабированию результатов </w:t>
      </w:r>
      <w:proofErr w:type="spellStart"/>
      <w:r>
        <w:t>пилотных</w:t>
      </w:r>
      <w:proofErr w:type="spellEnd"/>
      <w:r>
        <w:t xml:space="preserve"> проектов, представленные на конкурсный отбор, оцениваются конкурсной комиссией по следующим критериям:</w:t>
      </w:r>
    </w:p>
    <w:p w:rsidR="00E83B4D" w:rsidRDefault="00E83B4D">
      <w:pPr>
        <w:pStyle w:val="newncpi"/>
      </w:pPr>
      <w:r>
        <w:t xml:space="preserve">достижение </w:t>
      </w:r>
      <w:proofErr w:type="gramStart"/>
      <w:r>
        <w:t>показателей уровня цифрового развития отраслей экономики</w:t>
      </w:r>
      <w:proofErr w:type="gramEnd"/>
      <w:r>
        <w:t xml:space="preserve"> и административно-территориальных единиц, установленных приложением 1 к постановлению Совета Министров Республики Беларусь от 21 апреля 2023 г. № 280 «О мерах по реализации Указа Президента Республики Беларусь от 7 апреля 2022 г. № 136»;</w:t>
      </w:r>
    </w:p>
    <w:p w:rsidR="00E83B4D" w:rsidRDefault="00E83B4D">
      <w:pPr>
        <w:pStyle w:val="newncpi"/>
      </w:pPr>
      <w:r>
        <w:t>направленность на решение задач регионального масштаба;</w:t>
      </w:r>
    </w:p>
    <w:p w:rsidR="00E83B4D" w:rsidRDefault="00E83B4D">
      <w:pPr>
        <w:pStyle w:val="newncpi"/>
      </w:pPr>
      <w:r>
        <w:t xml:space="preserve">направленность на повышение показателей уровня цифрового развития Минской области, значения которых в году, предшествующем году проведения конкурсного отбора, согласно результатам </w:t>
      </w:r>
      <w:proofErr w:type="gramStart"/>
      <w:r>
        <w:t>оценки уровня цифрового развития отраслей экономики</w:t>
      </w:r>
      <w:proofErr w:type="gramEnd"/>
      <w:r>
        <w:t xml:space="preserve"> и административно-территориальных единиц, размещенным в государственной информационной системе «Витрина цифровых проектов», имеют наиболее низкие значения.</w:t>
      </w:r>
    </w:p>
    <w:p w:rsidR="00E83B4D" w:rsidRDefault="00E83B4D">
      <w:pPr>
        <w:pStyle w:val="point"/>
      </w:pPr>
      <w:r>
        <w:t>9. Заседание конкурсной комиссии считается правомочным при участии в нем не менее двух третей из состава членов.</w:t>
      </w:r>
    </w:p>
    <w:p w:rsidR="00E83B4D" w:rsidRDefault="00E83B4D">
      <w:pPr>
        <w:pStyle w:val="newncpi"/>
      </w:pPr>
      <w:r>
        <w:t xml:space="preserve">Решение конкурсной комиссии принимается с учетом степени влияния значений, заявленных на этапе реализации </w:t>
      </w:r>
      <w:proofErr w:type="spellStart"/>
      <w:r>
        <w:t>пилотных</w:t>
      </w:r>
      <w:proofErr w:type="spellEnd"/>
      <w:r>
        <w:t xml:space="preserve"> проектов, на изменение показателей уровня цифрового развития Минской области.</w:t>
      </w:r>
    </w:p>
    <w:p w:rsidR="00E83B4D" w:rsidRDefault="00E83B4D">
      <w:pPr>
        <w:pStyle w:val="newncpi"/>
      </w:pPr>
      <w:r>
        <w:t>Решение конкурсной комиссии принимается путем открытого голосования. При равенстве голосов принимается решение, за которое голосовал председатель конкурсной комиссии на заседании.</w:t>
      </w:r>
    </w:p>
    <w:p w:rsidR="00E83B4D" w:rsidRDefault="00E83B4D">
      <w:pPr>
        <w:pStyle w:val="newncpi"/>
      </w:pPr>
      <w:r>
        <w:t>Решение конкурсной комиссии оформляется протоколом, который подписывается всеми членами конкурсной комиссии.</w:t>
      </w:r>
    </w:p>
    <w:p w:rsidR="00E83B4D" w:rsidRDefault="00E83B4D">
      <w:pPr>
        <w:pStyle w:val="newncpi"/>
      </w:pPr>
      <w:r>
        <w:lastRenderedPageBreak/>
        <w:t xml:space="preserve">Результатом конкурсного отбора является решение конкурсной комиссии о целесообразности (нецелесообразности) включения мероприятий по масштабированию результатов </w:t>
      </w:r>
      <w:proofErr w:type="spellStart"/>
      <w:r>
        <w:t>пилотных</w:t>
      </w:r>
      <w:proofErr w:type="spellEnd"/>
      <w:r>
        <w:t xml:space="preserve"> проектов в региональный комплекс мероприятий.</w:t>
      </w:r>
    </w:p>
    <w:p w:rsidR="00E83B4D" w:rsidRDefault="00E83B4D">
      <w:pPr>
        <w:pStyle w:val="point"/>
      </w:pPr>
      <w:r>
        <w:t>10. Уполномоченное структурное подразделение облисполкома в течение 5 рабочих дней со дня завершения конкурсного отбора информирует участников о его результатах путем направления им соответствующих выписок из протокола.</w:t>
      </w:r>
    </w:p>
    <w:p w:rsidR="00E83B4D" w:rsidRDefault="00E83B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78"/>
        <w:gridCol w:w="3691"/>
      </w:tblGrid>
      <w:tr w:rsidR="00E83B4D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append1"/>
            </w:pPr>
            <w:r>
              <w:t>Приложение</w:t>
            </w:r>
          </w:p>
          <w:p w:rsidR="00E83B4D" w:rsidRDefault="00E83B4D">
            <w:pPr>
              <w:pStyle w:val="append"/>
            </w:pPr>
            <w:r>
              <w:t>к Инструкции о порядке проведения</w:t>
            </w:r>
            <w:r>
              <w:br/>
              <w:t>открытого конкурсного отбора</w:t>
            </w:r>
            <w:r>
              <w:br/>
              <w:t>мероприятий по масштабированию</w:t>
            </w:r>
            <w:r>
              <w:br/>
              <w:t xml:space="preserve">результатов </w:t>
            </w:r>
            <w:proofErr w:type="spellStart"/>
            <w:r>
              <w:t>пилотных</w:t>
            </w:r>
            <w:proofErr w:type="spellEnd"/>
            <w:r>
              <w:t xml:space="preserve"> проектов</w:t>
            </w:r>
            <w:r>
              <w:br/>
              <w:t>в сфере цифрового развития</w:t>
            </w:r>
            <w:r>
              <w:br/>
              <w:t>для финансирования из средств</w:t>
            </w:r>
            <w:r>
              <w:br/>
              <w:t>инновационного фонда</w:t>
            </w:r>
            <w:r>
              <w:br/>
              <w:t>Минского областного</w:t>
            </w:r>
            <w:r>
              <w:br/>
              <w:t xml:space="preserve">исполнительного комитета </w:t>
            </w:r>
          </w:p>
        </w:tc>
      </w:tr>
    </w:tbl>
    <w:p w:rsidR="00E83B4D" w:rsidRDefault="00E83B4D">
      <w:pPr>
        <w:pStyle w:val="newncpi"/>
      </w:pPr>
      <w:r>
        <w:t> </w:t>
      </w:r>
    </w:p>
    <w:p w:rsidR="00E83B4D" w:rsidRDefault="00E83B4D">
      <w:pPr>
        <w:pStyle w:val="onestring"/>
      </w:pPr>
      <w:r>
        <w:t>Форма</w:t>
      </w:r>
    </w:p>
    <w:p w:rsidR="00E83B4D" w:rsidRDefault="00E83B4D">
      <w:pPr>
        <w:pStyle w:val="titlep"/>
      </w:pPr>
      <w:r>
        <w:t>ЗАЯВКА</w:t>
      </w:r>
      <w:r>
        <w:br/>
        <w:t>на участие в конкурсном отборе</w:t>
      </w:r>
    </w:p>
    <w:p w:rsidR="00E83B4D" w:rsidRDefault="00E83B4D">
      <w:pPr>
        <w:pStyle w:val="newncpi0"/>
      </w:pPr>
      <w:r>
        <w:t>1. Общие сведения об участнике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5"/>
        <w:gridCol w:w="1984"/>
      </w:tblGrid>
      <w:tr w:rsidR="00E83B4D">
        <w:trPr>
          <w:trHeight w:val="240"/>
        </w:trPr>
        <w:tc>
          <w:tcPr>
            <w:tcW w:w="39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  <w:tr w:rsidR="00E83B4D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 xml:space="preserve">Адрес для корреспонденции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  <w:tr w:rsidR="00E83B4D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Фамилия, собственное имя, отчество (если таковое имеется) руководителя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  <w:tr w:rsidR="00E83B4D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Контактный телефон организации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  <w:tr w:rsidR="00E83B4D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Фамилия, собственное имя, отчество (если таковое имеется) ответственного исполнителя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  <w:tr w:rsidR="00E83B4D">
        <w:trPr>
          <w:trHeight w:val="240"/>
        </w:trPr>
        <w:tc>
          <w:tcPr>
            <w:tcW w:w="39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Контактный телефон ответственного исполнителя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</w:tbl>
    <w:p w:rsidR="00E83B4D" w:rsidRDefault="00E83B4D">
      <w:pPr>
        <w:pStyle w:val="newncpi"/>
      </w:pPr>
      <w:r>
        <w:t> </w:t>
      </w:r>
    </w:p>
    <w:p w:rsidR="00E83B4D" w:rsidRDefault="00E83B4D">
      <w:pPr>
        <w:pStyle w:val="newncpi0"/>
      </w:pPr>
      <w:r>
        <w:t xml:space="preserve">2. Сведения о результатах реализации </w:t>
      </w:r>
      <w:proofErr w:type="spellStart"/>
      <w:r>
        <w:t>пилотного</w:t>
      </w:r>
      <w:proofErr w:type="spellEnd"/>
      <w:r>
        <w:t xml:space="preserve"> проекта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5"/>
        <w:gridCol w:w="1984"/>
      </w:tblGrid>
      <w:tr w:rsidR="00E83B4D">
        <w:trPr>
          <w:trHeight w:val="240"/>
        </w:trPr>
        <w:tc>
          <w:tcPr>
            <w:tcW w:w="39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 xml:space="preserve">Наименование </w:t>
            </w:r>
            <w:proofErr w:type="spellStart"/>
            <w:r>
              <w:t>пилотного</w:t>
            </w:r>
            <w:proofErr w:type="spellEnd"/>
            <w:r>
              <w:t xml:space="preserve"> проекта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  <w:tr w:rsidR="00E83B4D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 xml:space="preserve">Дата принятия, номер и название постановления Совета Министров Республики Беларусь, которым утвержден перечень масштабируемых результатов </w:t>
            </w:r>
            <w:proofErr w:type="spellStart"/>
            <w:r>
              <w:t>пилотных</w:t>
            </w:r>
            <w:proofErr w:type="spellEnd"/>
            <w:r>
              <w:t xml:space="preserve"> проектов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  <w:tr w:rsidR="00E83B4D">
        <w:trPr>
          <w:trHeight w:val="240"/>
        </w:trPr>
        <w:tc>
          <w:tcPr>
            <w:tcW w:w="39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Планируемый объем финансирования, тысяч белорусских рублей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</w:tbl>
    <w:p w:rsidR="00E83B4D" w:rsidRDefault="00E83B4D">
      <w:pPr>
        <w:pStyle w:val="newncpi"/>
      </w:pPr>
      <w:r>
        <w:t> </w:t>
      </w:r>
    </w:p>
    <w:p w:rsidR="00E83B4D" w:rsidRDefault="00E83B4D">
      <w:pPr>
        <w:pStyle w:val="newncpi0"/>
      </w:pPr>
      <w:r>
        <w:t>3. Сведения о заявленных значениях и их степени влияния на уровень цифрового развития административно-территориальной единицы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6"/>
        <w:gridCol w:w="5213"/>
      </w:tblGrid>
      <w:tr w:rsidR="00E83B4D">
        <w:trPr>
          <w:trHeight w:val="240"/>
        </w:trPr>
        <w:tc>
          <w:tcPr>
            <w:tcW w:w="22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 xml:space="preserve">Наименование показателя, заявленного на этапе реализации </w:t>
            </w:r>
            <w:proofErr w:type="spellStart"/>
            <w:r>
              <w:t>пилотного</w:t>
            </w:r>
            <w:proofErr w:type="spellEnd"/>
            <w:r>
              <w:t xml:space="preserve"> проекта*</w:t>
            </w:r>
          </w:p>
        </w:tc>
        <w:tc>
          <w:tcPr>
            <w:tcW w:w="27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 xml:space="preserve">Степень влияния значения показателя на уровень цифрового развития административно-территориальной единицы </w:t>
            </w:r>
          </w:p>
        </w:tc>
      </w:tr>
      <w:tr w:rsidR="00E83B4D">
        <w:trPr>
          <w:trHeight w:val="240"/>
        </w:trPr>
        <w:tc>
          <w:tcPr>
            <w:tcW w:w="2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3B4D" w:rsidRDefault="00E83B4D">
            <w:pPr>
              <w:pStyle w:val="table10"/>
            </w:pPr>
            <w:r>
              <w:t> </w:t>
            </w:r>
          </w:p>
        </w:tc>
      </w:tr>
    </w:tbl>
    <w:p w:rsidR="00E83B4D" w:rsidRDefault="00E83B4D">
      <w:pPr>
        <w:pStyle w:val="newncpi"/>
      </w:pPr>
      <w:r>
        <w:t> </w:t>
      </w:r>
    </w:p>
    <w:p w:rsidR="00E83B4D" w:rsidRDefault="00E83B4D">
      <w:pPr>
        <w:pStyle w:val="newncpi0"/>
      </w:pPr>
      <w:r>
        <w:t xml:space="preserve">4. Краткое описание технических и функциональных возможностей результатов </w:t>
      </w:r>
      <w:proofErr w:type="spellStart"/>
      <w:r>
        <w:t>пилотного</w:t>
      </w:r>
      <w:proofErr w:type="spellEnd"/>
      <w:r>
        <w:t xml:space="preserve"> проекта.</w:t>
      </w:r>
    </w:p>
    <w:p w:rsidR="00E83B4D" w:rsidRDefault="00E83B4D">
      <w:pPr>
        <w:pStyle w:val="newncpi"/>
      </w:pPr>
      <w:r>
        <w:t> </w:t>
      </w:r>
    </w:p>
    <w:p w:rsidR="00E83B4D" w:rsidRDefault="00E83B4D">
      <w:pPr>
        <w:pStyle w:val="snoskiline"/>
      </w:pPr>
      <w:r>
        <w:t>______________________________</w:t>
      </w:r>
    </w:p>
    <w:p w:rsidR="00E83B4D" w:rsidRDefault="00E83B4D">
      <w:pPr>
        <w:pStyle w:val="snoski"/>
        <w:spacing w:after="240"/>
      </w:pPr>
      <w:r>
        <w:t>* Указывается согласно приложению к Положению о порядке сбора и анализа информации об уровне цифрового развития отраслей экономики и административно-территориальных единиц, утвержденному постановлением Министерства связи и информатизации Республики Беларусь от 29 апреля 2023 г. № 9.</w:t>
      </w:r>
    </w:p>
    <w:p w:rsidR="00E83B4D" w:rsidRDefault="00E83B4D">
      <w:pPr>
        <w:pStyle w:val="newncpi"/>
      </w:pPr>
      <w:r>
        <w:t> </w:t>
      </w:r>
    </w:p>
    <w:p w:rsidR="00B25579" w:rsidRDefault="00B25579"/>
    <w:sectPr w:rsidR="00B25579" w:rsidSect="00E83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04E" w:rsidRDefault="008C704E" w:rsidP="00E83B4D">
      <w:r>
        <w:separator/>
      </w:r>
    </w:p>
  </w:endnote>
  <w:endnote w:type="continuationSeparator" w:id="0">
    <w:p w:rsidR="008C704E" w:rsidRDefault="008C704E" w:rsidP="00E83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4D" w:rsidRDefault="00E83B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4D" w:rsidRDefault="00E83B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Ind w:w="57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22"/>
      <w:gridCol w:w="7094"/>
    </w:tblGrid>
    <w:tr w:rsidR="00E83B4D" w:rsidTr="00E83B4D">
      <w:tc>
        <w:tcPr>
          <w:tcW w:w="1800" w:type="dxa"/>
          <w:shd w:val="clear" w:color="auto" w:fill="auto"/>
          <w:vAlign w:val="center"/>
        </w:tcPr>
        <w:p w:rsidR="00E83B4D" w:rsidRDefault="00E83B4D">
          <w:pPr>
            <w:pStyle w:val="a5"/>
            <w:ind w:left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6" w:type="dxa"/>
          <w:shd w:val="clear" w:color="auto" w:fill="auto"/>
          <w:vAlign w:val="center"/>
        </w:tcPr>
        <w:p w:rsidR="00E83B4D" w:rsidRDefault="00E83B4D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83B4D" w:rsidRDefault="00E83B4D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11.01.2025</w:t>
          </w:r>
        </w:p>
        <w:p w:rsidR="00E83B4D" w:rsidRPr="00E83B4D" w:rsidRDefault="00E83B4D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83B4D" w:rsidRDefault="00E83B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04E" w:rsidRDefault="008C704E" w:rsidP="00E83B4D">
      <w:r>
        <w:separator/>
      </w:r>
    </w:p>
  </w:footnote>
  <w:footnote w:type="continuationSeparator" w:id="0">
    <w:p w:rsidR="008C704E" w:rsidRDefault="008C704E" w:rsidP="00E83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4D" w:rsidRDefault="00E83B4D" w:rsidP="00DB1A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3B4D" w:rsidRDefault="00E83B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4D" w:rsidRPr="00E83B4D" w:rsidRDefault="00E83B4D" w:rsidP="00DB1A7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83B4D">
      <w:rPr>
        <w:rStyle w:val="a7"/>
        <w:rFonts w:ascii="Times New Roman" w:hAnsi="Times New Roman" w:cs="Times New Roman"/>
        <w:sz w:val="24"/>
      </w:rPr>
      <w:fldChar w:fldCharType="begin"/>
    </w:r>
    <w:r w:rsidRPr="00E83B4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83B4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E83B4D">
      <w:rPr>
        <w:rStyle w:val="a7"/>
        <w:rFonts w:ascii="Times New Roman" w:hAnsi="Times New Roman" w:cs="Times New Roman"/>
        <w:sz w:val="24"/>
      </w:rPr>
      <w:fldChar w:fldCharType="end"/>
    </w:r>
  </w:p>
  <w:p w:rsidR="00E83B4D" w:rsidRPr="00E83B4D" w:rsidRDefault="00E83B4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4D" w:rsidRDefault="00E83B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B4D"/>
    <w:rsid w:val="000D67F6"/>
    <w:rsid w:val="000E2FDD"/>
    <w:rsid w:val="00302DFD"/>
    <w:rsid w:val="008C704E"/>
    <w:rsid w:val="00B25579"/>
    <w:rsid w:val="00E8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13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83B4D"/>
    <w:pPr>
      <w:spacing w:before="240" w:after="240"/>
      <w:ind w:left="0" w:right="2268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83B4D"/>
    <w:pPr>
      <w:spacing w:after="28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83B4D"/>
    <w:pPr>
      <w:spacing w:before="240" w:after="240"/>
      <w:ind w:left="0" w:right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83B4D"/>
    <w:pPr>
      <w:ind w:left="0" w:right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83B4D"/>
    <w:pPr>
      <w:spacing w:before="240" w:after="240"/>
      <w:ind w:left="0" w:right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83B4D"/>
    <w:pPr>
      <w:ind w:left="0" w:right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83B4D"/>
    <w:pPr>
      <w:ind w:left="0" w:right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83B4D"/>
    <w:pPr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83B4D"/>
    <w:pPr>
      <w:spacing w:after="28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83B4D"/>
    <w:pPr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83B4D"/>
    <w:pPr>
      <w:spacing w:after="120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83B4D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83B4D"/>
    <w:pPr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3B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3B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3B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3B4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3B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3B4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83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3B4D"/>
  </w:style>
  <w:style w:type="paragraph" w:styleId="a5">
    <w:name w:val="footer"/>
    <w:basedOn w:val="a"/>
    <w:link w:val="a6"/>
    <w:uiPriority w:val="99"/>
    <w:semiHidden/>
    <w:unhideWhenUsed/>
    <w:rsid w:val="00E83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B4D"/>
  </w:style>
  <w:style w:type="character" w:styleId="a7">
    <w:name w:val="page number"/>
    <w:basedOn w:val="a0"/>
    <w:uiPriority w:val="99"/>
    <w:semiHidden/>
    <w:unhideWhenUsed/>
    <w:rsid w:val="00E83B4D"/>
  </w:style>
  <w:style w:type="table" w:styleId="a8">
    <w:name w:val="Table Grid"/>
    <w:basedOn w:val="a1"/>
    <w:uiPriority w:val="59"/>
    <w:rsid w:val="00E83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6902</Characters>
  <Application>Microsoft Office Word</Application>
  <DocSecurity>0</DocSecurity>
  <Lines>168</Lines>
  <Paragraphs>67</Paragraphs>
  <ScaleCrop>false</ScaleCrop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KlyshejkoKI</dc:creator>
  <cp:lastModifiedBy>KlyshejkoKI</cp:lastModifiedBy>
  <cp:revision>1</cp:revision>
  <dcterms:created xsi:type="dcterms:W3CDTF">2025-01-11T13:00:00Z</dcterms:created>
  <dcterms:modified xsi:type="dcterms:W3CDTF">2025-01-11T13:01:00Z</dcterms:modified>
</cp:coreProperties>
</file>